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3B" w:rsidRDefault="0006083B" w:rsidP="00492CB3">
      <w:pPr>
        <w:jc w:val="center"/>
        <w:rPr>
          <w:rFonts w:cs="Times New Roman"/>
          <w:b/>
          <w:sz w:val="28"/>
          <w:szCs w:val="28"/>
        </w:rPr>
      </w:pPr>
    </w:p>
    <w:p w:rsidR="0006083B" w:rsidRPr="0006083B" w:rsidRDefault="0006083B" w:rsidP="0006083B">
      <w:pPr>
        <w:jc w:val="center"/>
        <w:rPr>
          <w:rFonts w:cs="Times New Roman"/>
          <w:b/>
          <w:sz w:val="28"/>
          <w:szCs w:val="28"/>
        </w:rPr>
      </w:pPr>
      <w:r w:rsidRPr="0006083B">
        <w:rPr>
          <w:rFonts w:cs="Times New Roman"/>
          <w:b/>
          <w:sz w:val="28"/>
          <w:szCs w:val="28"/>
        </w:rPr>
        <w:t>Political Risk and Foreign Direct Investment in Africa: The Case of the Nigerian Telecommunications Industry</w:t>
      </w:r>
    </w:p>
    <w:p w:rsidR="0006083B" w:rsidRPr="0006083B" w:rsidRDefault="0006083B" w:rsidP="0006083B">
      <w:pPr>
        <w:jc w:val="center"/>
        <w:rPr>
          <w:rFonts w:cs="Times New Roman"/>
          <w:b/>
          <w:sz w:val="28"/>
          <w:szCs w:val="28"/>
        </w:rPr>
      </w:pPr>
    </w:p>
    <w:p w:rsidR="0006083B" w:rsidRPr="0006083B" w:rsidRDefault="0006083B" w:rsidP="0006083B">
      <w:pPr>
        <w:jc w:val="center"/>
        <w:rPr>
          <w:rFonts w:cs="Times New Roman"/>
          <w:b/>
          <w:sz w:val="28"/>
          <w:szCs w:val="28"/>
        </w:rPr>
      </w:pPr>
      <w:r w:rsidRPr="0006083B">
        <w:rPr>
          <w:rFonts w:cs="Times New Roman"/>
          <w:b/>
          <w:sz w:val="28"/>
          <w:szCs w:val="28"/>
        </w:rPr>
        <w:t xml:space="preserve">Ellis L.C. Osabutey </w:t>
      </w:r>
      <w:r w:rsidRPr="0006083B">
        <w:rPr>
          <w:rFonts w:cs="Times New Roman"/>
          <w:b/>
          <w:sz w:val="28"/>
          <w:szCs w:val="28"/>
          <w:vertAlign w:val="superscript"/>
        </w:rPr>
        <w:t>a</w:t>
      </w:r>
      <w:r w:rsidRPr="0006083B">
        <w:rPr>
          <w:rFonts w:cs="Times New Roman"/>
          <w:b/>
          <w:sz w:val="28"/>
          <w:szCs w:val="28"/>
        </w:rPr>
        <w:t xml:space="preserve"> (Corresponding Author)</w:t>
      </w:r>
    </w:p>
    <w:p w:rsidR="0006083B" w:rsidRPr="0006083B" w:rsidRDefault="0006083B" w:rsidP="006570F7">
      <w:pPr>
        <w:jc w:val="center"/>
        <w:rPr>
          <w:rFonts w:cs="Times New Roman"/>
          <w:b/>
          <w:sz w:val="28"/>
          <w:szCs w:val="28"/>
        </w:rPr>
      </w:pPr>
      <w:r>
        <w:rPr>
          <w:rFonts w:cs="Times New Roman"/>
          <w:b/>
          <w:sz w:val="28"/>
          <w:szCs w:val="28"/>
        </w:rPr>
        <w:t>Chris</w:t>
      </w:r>
      <w:bookmarkStart w:id="0" w:name="_GoBack"/>
      <w:bookmarkEnd w:id="0"/>
      <w:r>
        <w:rPr>
          <w:rFonts w:cs="Times New Roman"/>
          <w:b/>
          <w:sz w:val="28"/>
          <w:szCs w:val="28"/>
        </w:rPr>
        <w:t xml:space="preserve"> Okoro</w:t>
      </w:r>
      <w:r w:rsidRPr="0006083B">
        <w:t xml:space="preserve"> </w:t>
      </w:r>
      <w:r w:rsidRPr="0006083B">
        <w:rPr>
          <w:rFonts w:cs="Times New Roman"/>
          <w:b/>
          <w:sz w:val="28"/>
          <w:szCs w:val="28"/>
          <w:vertAlign w:val="superscript"/>
        </w:rPr>
        <w:t>a</w:t>
      </w:r>
    </w:p>
    <w:p w:rsidR="0006083B" w:rsidRPr="0006083B" w:rsidRDefault="0006083B" w:rsidP="0006083B">
      <w:pPr>
        <w:jc w:val="center"/>
        <w:rPr>
          <w:rFonts w:cs="Times New Roman"/>
          <w:b/>
          <w:sz w:val="28"/>
          <w:szCs w:val="28"/>
        </w:rPr>
      </w:pPr>
    </w:p>
    <w:p w:rsidR="0006083B" w:rsidRPr="0006083B" w:rsidRDefault="0006083B" w:rsidP="0006083B">
      <w:pPr>
        <w:jc w:val="center"/>
        <w:rPr>
          <w:rFonts w:cs="Times New Roman"/>
          <w:b/>
          <w:sz w:val="28"/>
          <w:szCs w:val="28"/>
        </w:rPr>
      </w:pPr>
    </w:p>
    <w:p w:rsidR="0006083B" w:rsidRPr="0006083B" w:rsidRDefault="0006083B" w:rsidP="0006083B">
      <w:pPr>
        <w:jc w:val="center"/>
        <w:rPr>
          <w:rFonts w:cs="Times New Roman"/>
          <w:b/>
          <w:sz w:val="28"/>
          <w:szCs w:val="28"/>
        </w:rPr>
      </w:pPr>
    </w:p>
    <w:p w:rsidR="0006083B" w:rsidRPr="0006083B" w:rsidRDefault="0006083B" w:rsidP="0006083B">
      <w:pPr>
        <w:jc w:val="center"/>
        <w:rPr>
          <w:rFonts w:cs="Times New Roman"/>
          <w:b/>
          <w:sz w:val="28"/>
          <w:szCs w:val="28"/>
        </w:rPr>
      </w:pPr>
    </w:p>
    <w:p w:rsidR="0006083B" w:rsidRPr="0006083B" w:rsidRDefault="0006083B" w:rsidP="0006083B">
      <w:pPr>
        <w:jc w:val="center"/>
        <w:rPr>
          <w:rFonts w:cs="Times New Roman"/>
          <w:b/>
          <w:sz w:val="28"/>
          <w:szCs w:val="28"/>
        </w:rPr>
      </w:pPr>
      <w:r w:rsidRPr="0006083B">
        <w:rPr>
          <w:rFonts w:cs="Times New Roman"/>
          <w:b/>
          <w:sz w:val="28"/>
          <w:szCs w:val="28"/>
        </w:rPr>
        <w:t xml:space="preserve"> </w:t>
      </w:r>
      <w:proofErr w:type="gramStart"/>
      <w:r w:rsidRPr="0006083B">
        <w:rPr>
          <w:rFonts w:cs="Times New Roman"/>
          <w:b/>
          <w:sz w:val="28"/>
          <w:szCs w:val="28"/>
          <w:vertAlign w:val="superscript"/>
        </w:rPr>
        <w:t>a</w:t>
      </w:r>
      <w:proofErr w:type="gramEnd"/>
      <w:r w:rsidRPr="0006083B">
        <w:rPr>
          <w:rFonts w:cs="Times New Roman"/>
          <w:b/>
          <w:sz w:val="28"/>
          <w:szCs w:val="28"/>
        </w:rPr>
        <w:t xml:space="preserve"> Middlesex University, The Business School, The Burroughs, Hendon, London. </w:t>
      </w:r>
      <w:proofErr w:type="gramStart"/>
      <w:r w:rsidRPr="0006083B">
        <w:rPr>
          <w:rFonts w:cs="Times New Roman"/>
          <w:b/>
          <w:sz w:val="28"/>
          <w:szCs w:val="28"/>
        </w:rPr>
        <w:t>NW4 4BT, United Kingdom.</w:t>
      </w:r>
      <w:proofErr w:type="gramEnd"/>
    </w:p>
    <w:p w:rsidR="0006083B" w:rsidRPr="0006083B" w:rsidRDefault="0006083B" w:rsidP="0006083B">
      <w:pPr>
        <w:jc w:val="center"/>
        <w:rPr>
          <w:rFonts w:cs="Times New Roman"/>
          <w:b/>
          <w:sz w:val="28"/>
          <w:szCs w:val="28"/>
        </w:rPr>
      </w:pPr>
      <w:r w:rsidRPr="0006083B">
        <w:rPr>
          <w:rFonts w:cs="Times New Roman"/>
          <w:b/>
          <w:sz w:val="28"/>
          <w:szCs w:val="28"/>
        </w:rPr>
        <w:t>Tel: +44 (0) 20 8411 5282</w:t>
      </w:r>
    </w:p>
    <w:p w:rsidR="0006083B" w:rsidRPr="0006083B" w:rsidRDefault="0006083B" w:rsidP="0006083B">
      <w:pPr>
        <w:jc w:val="center"/>
        <w:rPr>
          <w:rFonts w:cs="Times New Roman"/>
          <w:b/>
          <w:sz w:val="28"/>
          <w:szCs w:val="28"/>
        </w:rPr>
      </w:pPr>
      <w:r w:rsidRPr="0006083B">
        <w:rPr>
          <w:rFonts w:cs="Times New Roman"/>
          <w:b/>
          <w:sz w:val="28"/>
          <w:szCs w:val="28"/>
        </w:rPr>
        <w:t>e.osabutey@mdx.ac.uk</w:t>
      </w:r>
    </w:p>
    <w:p w:rsidR="0006083B" w:rsidRPr="0006083B" w:rsidRDefault="0006083B" w:rsidP="0006083B">
      <w:pPr>
        <w:jc w:val="center"/>
        <w:rPr>
          <w:rFonts w:cs="Times New Roman"/>
          <w:b/>
          <w:sz w:val="28"/>
          <w:szCs w:val="28"/>
        </w:rPr>
      </w:pPr>
    </w:p>
    <w:p w:rsidR="0006083B" w:rsidRDefault="0006083B" w:rsidP="0006083B">
      <w:pPr>
        <w:jc w:val="center"/>
        <w:rPr>
          <w:rFonts w:cs="Times New Roman"/>
          <w:b/>
          <w:sz w:val="28"/>
          <w:szCs w:val="28"/>
        </w:rPr>
      </w:pPr>
    </w:p>
    <w:p w:rsidR="0006083B" w:rsidRDefault="0006083B" w:rsidP="0006083B">
      <w:pPr>
        <w:jc w:val="center"/>
        <w:rPr>
          <w:rFonts w:cs="Times New Roman"/>
          <w:b/>
          <w:sz w:val="28"/>
          <w:szCs w:val="28"/>
        </w:rPr>
      </w:pPr>
    </w:p>
    <w:p w:rsidR="0006083B" w:rsidRDefault="0006083B" w:rsidP="0006083B">
      <w:pPr>
        <w:jc w:val="center"/>
        <w:rPr>
          <w:rFonts w:cs="Times New Roman"/>
          <w:b/>
          <w:sz w:val="28"/>
          <w:szCs w:val="28"/>
        </w:rPr>
      </w:pPr>
    </w:p>
    <w:p w:rsidR="0006083B" w:rsidRDefault="0006083B" w:rsidP="0006083B">
      <w:pPr>
        <w:jc w:val="center"/>
        <w:rPr>
          <w:rFonts w:cs="Times New Roman"/>
          <w:b/>
          <w:sz w:val="28"/>
          <w:szCs w:val="28"/>
        </w:rPr>
      </w:pPr>
    </w:p>
    <w:p w:rsidR="0006083B" w:rsidRDefault="0006083B" w:rsidP="0006083B">
      <w:pPr>
        <w:jc w:val="center"/>
        <w:rPr>
          <w:rFonts w:cs="Times New Roman"/>
          <w:b/>
          <w:sz w:val="28"/>
          <w:szCs w:val="28"/>
        </w:rPr>
      </w:pPr>
    </w:p>
    <w:p w:rsidR="0006083B" w:rsidRDefault="0006083B" w:rsidP="00492CB3">
      <w:pPr>
        <w:jc w:val="center"/>
        <w:rPr>
          <w:rFonts w:cs="Times New Roman"/>
          <w:b/>
          <w:sz w:val="28"/>
          <w:szCs w:val="28"/>
        </w:rPr>
      </w:pPr>
    </w:p>
    <w:p w:rsidR="0006083B" w:rsidRDefault="0006083B" w:rsidP="00492CB3">
      <w:pPr>
        <w:jc w:val="center"/>
        <w:rPr>
          <w:rFonts w:cs="Times New Roman"/>
          <w:b/>
          <w:sz w:val="28"/>
          <w:szCs w:val="28"/>
        </w:rPr>
      </w:pPr>
    </w:p>
    <w:p w:rsidR="0006083B" w:rsidRDefault="0006083B" w:rsidP="00492CB3">
      <w:pPr>
        <w:jc w:val="center"/>
        <w:rPr>
          <w:rFonts w:cs="Times New Roman"/>
          <w:b/>
          <w:sz w:val="28"/>
          <w:szCs w:val="28"/>
        </w:rPr>
      </w:pPr>
    </w:p>
    <w:p w:rsidR="0006083B" w:rsidRDefault="0006083B" w:rsidP="00492CB3">
      <w:pPr>
        <w:jc w:val="center"/>
        <w:rPr>
          <w:rFonts w:cs="Times New Roman"/>
          <w:b/>
          <w:sz w:val="28"/>
          <w:szCs w:val="28"/>
        </w:rPr>
      </w:pPr>
    </w:p>
    <w:p w:rsidR="0006083B" w:rsidRDefault="0006083B" w:rsidP="00492CB3">
      <w:pPr>
        <w:jc w:val="center"/>
        <w:rPr>
          <w:rFonts w:cs="Times New Roman"/>
          <w:b/>
          <w:sz w:val="28"/>
          <w:szCs w:val="28"/>
        </w:rPr>
      </w:pPr>
    </w:p>
    <w:p w:rsidR="0006083B" w:rsidRDefault="0006083B" w:rsidP="00492CB3">
      <w:pPr>
        <w:jc w:val="center"/>
        <w:rPr>
          <w:rFonts w:cs="Times New Roman"/>
          <w:b/>
          <w:sz w:val="28"/>
          <w:szCs w:val="28"/>
        </w:rPr>
      </w:pPr>
    </w:p>
    <w:p w:rsidR="00763193" w:rsidRPr="00C92385" w:rsidRDefault="00DF1523" w:rsidP="00492CB3">
      <w:pPr>
        <w:jc w:val="center"/>
        <w:rPr>
          <w:rFonts w:cs="Times New Roman"/>
          <w:b/>
          <w:sz w:val="28"/>
          <w:szCs w:val="28"/>
        </w:rPr>
      </w:pPr>
      <w:r>
        <w:rPr>
          <w:rFonts w:cs="Times New Roman"/>
          <w:b/>
          <w:sz w:val="28"/>
          <w:szCs w:val="28"/>
        </w:rPr>
        <w:lastRenderedPageBreak/>
        <w:t>Political Ri</w:t>
      </w:r>
      <w:r w:rsidR="00492CB3" w:rsidRPr="00C92385">
        <w:rPr>
          <w:rFonts w:cs="Times New Roman"/>
          <w:b/>
          <w:sz w:val="28"/>
          <w:szCs w:val="28"/>
        </w:rPr>
        <w:t>sk and Foreign Direct Investment in Africa: The Case of the Nigerian Telecommunications Industry</w:t>
      </w:r>
    </w:p>
    <w:p w:rsidR="00492CB3" w:rsidRPr="00C92385" w:rsidRDefault="00492CB3" w:rsidP="00492CB3">
      <w:pPr>
        <w:jc w:val="center"/>
        <w:rPr>
          <w:rFonts w:cs="Times New Roman"/>
          <w:b/>
          <w:sz w:val="28"/>
          <w:szCs w:val="28"/>
        </w:rPr>
      </w:pPr>
    </w:p>
    <w:p w:rsidR="0003634D" w:rsidRPr="00C92385" w:rsidRDefault="00D71DD4" w:rsidP="008F000E">
      <w:pPr>
        <w:rPr>
          <w:rFonts w:cs="Times New Roman"/>
          <w:b/>
        </w:rPr>
      </w:pPr>
      <w:r w:rsidRPr="00C92385">
        <w:rPr>
          <w:rFonts w:cs="Times New Roman"/>
          <w:b/>
        </w:rPr>
        <w:t>Executive Summary</w:t>
      </w:r>
    </w:p>
    <w:p w:rsidR="00D71DD4" w:rsidRPr="00C92385" w:rsidRDefault="00D77193" w:rsidP="00311FA6">
      <w:pPr>
        <w:rPr>
          <w:rFonts w:cs="Times New Roman"/>
        </w:rPr>
      </w:pPr>
      <w:r w:rsidRPr="00C92385">
        <w:rPr>
          <w:rFonts w:cs="Times New Roman"/>
        </w:rPr>
        <w:t xml:space="preserve">Foreign direct investment (FDI) flows are expected to be influenced by political risk factors. However, studies that evaluate the relationship between political risk and FDI flows in Sub-Saharan Africa </w:t>
      </w:r>
      <w:r w:rsidR="00311FA6" w:rsidRPr="00C92385">
        <w:rPr>
          <w:rFonts w:cs="Times New Roman"/>
        </w:rPr>
        <w:t xml:space="preserve">(SSA) </w:t>
      </w:r>
      <w:r w:rsidRPr="00C92385">
        <w:rPr>
          <w:rFonts w:cs="Times New Roman"/>
        </w:rPr>
        <w:t xml:space="preserve">are scarce. This study examines the </w:t>
      </w:r>
      <w:r w:rsidR="0029563B" w:rsidRPr="00C92385">
        <w:rPr>
          <w:rFonts w:cs="Times New Roman"/>
        </w:rPr>
        <w:t>impact of political risk on FDI</w:t>
      </w:r>
      <w:r w:rsidR="00FE66BB" w:rsidRPr="00C92385">
        <w:rPr>
          <w:rFonts w:cs="Times New Roman"/>
        </w:rPr>
        <w:t xml:space="preserve"> flows</w:t>
      </w:r>
      <w:r w:rsidR="0029563B" w:rsidRPr="00C92385">
        <w:rPr>
          <w:rFonts w:cs="Times New Roman"/>
        </w:rPr>
        <w:t xml:space="preserve"> in</w:t>
      </w:r>
      <w:r w:rsidR="00602840">
        <w:rPr>
          <w:rFonts w:cs="Times New Roman"/>
        </w:rPr>
        <w:t xml:space="preserve"> a SSA context</w:t>
      </w:r>
      <w:r w:rsidR="0029563B" w:rsidRPr="00C92385">
        <w:rPr>
          <w:rFonts w:cs="Times New Roman"/>
        </w:rPr>
        <w:t xml:space="preserve"> using the </w:t>
      </w:r>
      <w:r w:rsidRPr="00C92385">
        <w:rPr>
          <w:rFonts w:cs="Times New Roman"/>
        </w:rPr>
        <w:t xml:space="preserve">12 political risk </w:t>
      </w:r>
      <w:r w:rsidR="0003634D" w:rsidRPr="00C92385">
        <w:rPr>
          <w:rFonts w:cs="Times New Roman"/>
        </w:rPr>
        <w:t xml:space="preserve">components </w:t>
      </w:r>
      <w:r w:rsidR="0029563B" w:rsidRPr="00C92385">
        <w:rPr>
          <w:rFonts w:cs="Times New Roman"/>
        </w:rPr>
        <w:t>published</w:t>
      </w:r>
      <w:r w:rsidR="002910F3" w:rsidRPr="00C92385">
        <w:rPr>
          <w:rFonts w:cs="Times New Roman"/>
        </w:rPr>
        <w:t xml:space="preserve"> </w:t>
      </w:r>
      <w:r w:rsidR="0029563B" w:rsidRPr="00C92385">
        <w:rPr>
          <w:rFonts w:cs="Times New Roman"/>
        </w:rPr>
        <w:t xml:space="preserve">as </w:t>
      </w:r>
      <w:r w:rsidR="002910F3" w:rsidRPr="00C92385">
        <w:rPr>
          <w:rFonts w:cs="Times New Roman"/>
        </w:rPr>
        <w:t xml:space="preserve">the </w:t>
      </w:r>
      <w:r w:rsidR="0029563B" w:rsidRPr="00C92385">
        <w:rPr>
          <w:rFonts w:cs="Times New Roman"/>
        </w:rPr>
        <w:t xml:space="preserve">International Country Risk Guide (ICRG) </w:t>
      </w:r>
      <w:r w:rsidR="00FE66BB" w:rsidRPr="00C92385">
        <w:rPr>
          <w:rFonts w:cs="Times New Roman"/>
        </w:rPr>
        <w:t xml:space="preserve">by the </w:t>
      </w:r>
      <w:r w:rsidR="002910F3" w:rsidRPr="00C92385">
        <w:rPr>
          <w:rFonts w:cs="Times New Roman"/>
        </w:rPr>
        <w:t xml:space="preserve">Political Risk Services Group (PRS) </w:t>
      </w:r>
      <w:r w:rsidR="00FE66BB" w:rsidRPr="00C92385">
        <w:rPr>
          <w:rFonts w:cs="Times New Roman"/>
        </w:rPr>
        <w:t>with</w:t>
      </w:r>
      <w:r w:rsidR="00311FA6" w:rsidRPr="00C92385">
        <w:rPr>
          <w:rFonts w:cs="Times New Roman"/>
        </w:rPr>
        <w:t xml:space="preserve"> the Nigerian telecommunications sector as a case study</w:t>
      </w:r>
      <w:r w:rsidR="002910F3" w:rsidRPr="00C92385">
        <w:rPr>
          <w:rFonts w:cs="Times New Roman"/>
        </w:rPr>
        <w:t>.</w:t>
      </w:r>
      <w:r w:rsidR="0003634D" w:rsidRPr="00C92385">
        <w:rPr>
          <w:rFonts w:cs="Times New Roman"/>
        </w:rPr>
        <w:t xml:space="preserve"> </w:t>
      </w:r>
      <w:r w:rsidR="00D71DD4" w:rsidRPr="00C92385">
        <w:rPr>
          <w:rFonts w:cs="Times New Roman"/>
        </w:rPr>
        <w:t xml:space="preserve">The study finds that political risk has a significant influence on the </w:t>
      </w:r>
      <w:r w:rsidR="00311FA6" w:rsidRPr="00C92385">
        <w:rPr>
          <w:rFonts w:cs="Times New Roman"/>
        </w:rPr>
        <w:t>in</w:t>
      </w:r>
      <w:r w:rsidR="00D71DD4" w:rsidRPr="00C92385">
        <w:rPr>
          <w:rFonts w:cs="Times New Roman"/>
        </w:rPr>
        <w:t>flow of FDI in</w:t>
      </w:r>
      <w:r w:rsidR="00311FA6" w:rsidRPr="00C92385">
        <w:rPr>
          <w:rFonts w:cs="Times New Roman"/>
        </w:rPr>
        <w:t xml:space="preserve">to </w:t>
      </w:r>
      <w:r w:rsidR="00D71DD4" w:rsidRPr="00C92385">
        <w:rPr>
          <w:rFonts w:cs="Times New Roman"/>
        </w:rPr>
        <w:t xml:space="preserve">developing economies </w:t>
      </w:r>
      <w:r w:rsidR="00311FA6" w:rsidRPr="00C92385">
        <w:rPr>
          <w:rFonts w:cs="Times New Roman"/>
        </w:rPr>
        <w:t xml:space="preserve">in SSA such as Nigeria </w:t>
      </w:r>
      <w:r w:rsidR="00D71DD4" w:rsidRPr="00C92385">
        <w:rPr>
          <w:rFonts w:cs="Times New Roman"/>
        </w:rPr>
        <w:t xml:space="preserve">and that the 12 components affect FDI in different ways. </w:t>
      </w:r>
      <w:r w:rsidR="005A7CC4">
        <w:rPr>
          <w:rFonts w:cs="Times New Roman"/>
        </w:rPr>
        <w:t xml:space="preserve">Irrespective of the political risk rating, a consistent improvement </w:t>
      </w:r>
      <w:r w:rsidR="00EC6A0C">
        <w:rPr>
          <w:rFonts w:cs="Times New Roman"/>
        </w:rPr>
        <w:t>in composite political risk enhances FDI inflow</w:t>
      </w:r>
      <w:r w:rsidR="005A7CC4">
        <w:rPr>
          <w:rFonts w:cs="Times New Roman"/>
        </w:rPr>
        <w:t xml:space="preserve">. </w:t>
      </w:r>
      <w:r w:rsidR="00D71DD4" w:rsidRPr="00C92385">
        <w:rPr>
          <w:rFonts w:cs="Times New Roman"/>
        </w:rPr>
        <w:t xml:space="preserve">Among the 12 components, </w:t>
      </w:r>
      <w:r w:rsidR="009A297A">
        <w:rPr>
          <w:rFonts w:cs="Times New Roman"/>
        </w:rPr>
        <w:t xml:space="preserve">corruption, law and order, democratic accountability and investment profile were found to </w:t>
      </w:r>
      <w:r w:rsidR="00D71DD4" w:rsidRPr="00C92385">
        <w:rPr>
          <w:rFonts w:cs="Times New Roman"/>
        </w:rPr>
        <w:t>have significant influence</w:t>
      </w:r>
      <w:r w:rsidR="00EC6A0C">
        <w:rPr>
          <w:rFonts w:cs="Times New Roman"/>
        </w:rPr>
        <w:t>s</w:t>
      </w:r>
      <w:r w:rsidR="00D71DD4" w:rsidRPr="00C92385">
        <w:rPr>
          <w:rFonts w:cs="Times New Roman"/>
        </w:rPr>
        <w:t xml:space="preserve"> on FDI</w:t>
      </w:r>
      <w:r w:rsidR="009A297A">
        <w:rPr>
          <w:rFonts w:cs="Times New Roman"/>
        </w:rPr>
        <w:t xml:space="preserve"> inflow into the Nigerian telecommunications sector. Corruption, in particular, explains nearly two-thirds of </w:t>
      </w:r>
      <w:r w:rsidR="00212634">
        <w:rPr>
          <w:rFonts w:cs="Times New Roman"/>
        </w:rPr>
        <w:t>the FDI inflow</w:t>
      </w:r>
      <w:r w:rsidR="00B249E0" w:rsidRPr="00C92385">
        <w:rPr>
          <w:rFonts w:cs="Times New Roman"/>
        </w:rPr>
        <w:t>.</w:t>
      </w:r>
    </w:p>
    <w:p w:rsidR="00E436FF" w:rsidRPr="00C92385" w:rsidRDefault="00E436FF" w:rsidP="00B108CE">
      <w:pPr>
        <w:rPr>
          <w:rFonts w:cs="Times New Roman"/>
        </w:rPr>
      </w:pPr>
    </w:p>
    <w:p w:rsidR="002910F3" w:rsidRPr="00C92385" w:rsidRDefault="002910F3" w:rsidP="00B108CE">
      <w:pPr>
        <w:rPr>
          <w:rFonts w:cs="Times New Roman"/>
        </w:rPr>
      </w:pPr>
      <w:r w:rsidRPr="00C92385">
        <w:rPr>
          <w:rFonts w:cs="Times New Roman"/>
        </w:rPr>
        <w:t xml:space="preserve">Key Words: FDI, </w:t>
      </w:r>
      <w:r w:rsidR="00D33FF0" w:rsidRPr="00C92385">
        <w:rPr>
          <w:rFonts w:cs="Times New Roman"/>
        </w:rPr>
        <w:t>p</w:t>
      </w:r>
      <w:r w:rsidRPr="00C92385">
        <w:rPr>
          <w:rFonts w:cs="Times New Roman"/>
        </w:rPr>
        <w:t xml:space="preserve">olitical risk, </w:t>
      </w:r>
      <w:r w:rsidR="00D33FF0" w:rsidRPr="00C92385">
        <w:rPr>
          <w:rFonts w:cs="Times New Roman"/>
        </w:rPr>
        <w:t>telecommunications, d</w:t>
      </w:r>
      <w:r w:rsidRPr="00C92385">
        <w:rPr>
          <w:rFonts w:cs="Times New Roman"/>
        </w:rPr>
        <w:t xml:space="preserve">eveloping economies, </w:t>
      </w:r>
      <w:r w:rsidR="00D33FF0" w:rsidRPr="00C92385">
        <w:rPr>
          <w:rFonts w:cs="Times New Roman"/>
        </w:rPr>
        <w:t>Africa, Nigeria</w:t>
      </w:r>
      <w:r w:rsidR="00700DEA" w:rsidRPr="00C92385">
        <w:rPr>
          <w:rFonts w:cs="Times New Roman"/>
        </w:rPr>
        <w:t>.</w:t>
      </w:r>
    </w:p>
    <w:p w:rsidR="0003634D" w:rsidRPr="00C92385" w:rsidRDefault="0003634D" w:rsidP="00B108CE">
      <w:pPr>
        <w:rPr>
          <w:rFonts w:cs="Times New Roman"/>
        </w:rPr>
      </w:pPr>
    </w:p>
    <w:p w:rsidR="00C51CCE" w:rsidRPr="00C92385" w:rsidRDefault="00C51CCE" w:rsidP="00D33FF0">
      <w:pPr>
        <w:rPr>
          <w:b/>
        </w:rPr>
      </w:pPr>
      <w:r w:rsidRPr="00C92385">
        <w:rPr>
          <w:b/>
        </w:rPr>
        <w:t>Introduction</w:t>
      </w:r>
    </w:p>
    <w:p w:rsidR="00971842" w:rsidRPr="00C92385" w:rsidRDefault="00C676A7" w:rsidP="00492CB3">
      <w:pPr>
        <w:rPr>
          <w:rFonts w:cs="Times New Roman"/>
        </w:rPr>
      </w:pPr>
      <w:r w:rsidRPr="00C92385">
        <w:rPr>
          <w:rFonts w:cs="Times New Roman"/>
        </w:rPr>
        <w:t xml:space="preserve">Foreign </w:t>
      </w:r>
      <w:r w:rsidR="00D33FF0" w:rsidRPr="00C92385">
        <w:rPr>
          <w:rFonts w:cs="Times New Roman"/>
        </w:rPr>
        <w:t>d</w:t>
      </w:r>
      <w:r w:rsidRPr="00C92385">
        <w:rPr>
          <w:rFonts w:cs="Times New Roman"/>
        </w:rPr>
        <w:t xml:space="preserve">irect </w:t>
      </w:r>
      <w:r w:rsidR="00D33FF0" w:rsidRPr="00C92385">
        <w:rPr>
          <w:rFonts w:cs="Times New Roman"/>
        </w:rPr>
        <w:t>i</w:t>
      </w:r>
      <w:r w:rsidRPr="00C92385">
        <w:rPr>
          <w:rFonts w:cs="Times New Roman"/>
        </w:rPr>
        <w:t>nvestment (FDI) has been identified as a major contributing factor to the economic growth of developing nations (</w:t>
      </w:r>
      <w:r w:rsidR="00B05E49">
        <w:rPr>
          <w:rFonts w:cs="Times New Roman"/>
        </w:rPr>
        <w:t xml:space="preserve">Osabutey &amp; Debrah, 2012; </w:t>
      </w:r>
      <w:proofErr w:type="spellStart"/>
      <w:r w:rsidRPr="00C92385">
        <w:rPr>
          <w:rFonts w:cs="Times New Roman"/>
        </w:rPr>
        <w:t>Vijayakuma</w:t>
      </w:r>
      <w:proofErr w:type="spellEnd"/>
      <w:r w:rsidR="00D33FF0" w:rsidRPr="00C92385">
        <w:rPr>
          <w:rFonts w:cs="Times New Roman"/>
        </w:rPr>
        <w:t xml:space="preserve">, </w:t>
      </w:r>
      <w:proofErr w:type="spellStart"/>
      <w:r w:rsidR="00D33FF0" w:rsidRPr="00C92385">
        <w:rPr>
          <w:rFonts w:cs="Times New Roman"/>
        </w:rPr>
        <w:t>Sridharan</w:t>
      </w:r>
      <w:proofErr w:type="spellEnd"/>
      <w:r w:rsidR="00D33FF0" w:rsidRPr="00C92385">
        <w:rPr>
          <w:rFonts w:cs="Times New Roman"/>
        </w:rPr>
        <w:t xml:space="preserve"> </w:t>
      </w:r>
      <w:r w:rsidR="00AC6BD2" w:rsidRPr="00C92385">
        <w:rPr>
          <w:rFonts w:cs="Times New Roman"/>
        </w:rPr>
        <w:t>&amp;</w:t>
      </w:r>
      <w:r w:rsidR="00D33FF0" w:rsidRPr="00C92385">
        <w:rPr>
          <w:rFonts w:cs="Times New Roman"/>
        </w:rPr>
        <w:t xml:space="preserve"> Rao</w:t>
      </w:r>
      <w:r w:rsidRPr="00C92385">
        <w:rPr>
          <w:rFonts w:cs="Times New Roman"/>
        </w:rPr>
        <w:t xml:space="preserve">, 2009). </w:t>
      </w:r>
      <w:r w:rsidR="00D33FF0" w:rsidRPr="00C92385">
        <w:rPr>
          <w:rFonts w:cs="Times New Roman"/>
        </w:rPr>
        <w:t>Consequently</w:t>
      </w:r>
      <w:r w:rsidR="00212634">
        <w:rPr>
          <w:rFonts w:cs="Times New Roman"/>
        </w:rPr>
        <w:t>,</w:t>
      </w:r>
      <w:r w:rsidR="00D33FF0" w:rsidRPr="00C92385">
        <w:rPr>
          <w:rFonts w:cs="Times New Roman"/>
        </w:rPr>
        <w:t xml:space="preserve"> </w:t>
      </w:r>
      <w:r w:rsidRPr="00C92385">
        <w:rPr>
          <w:rFonts w:cs="Times New Roman"/>
        </w:rPr>
        <w:t xml:space="preserve">governments of developing nations </w:t>
      </w:r>
      <w:r w:rsidR="006630C6">
        <w:rPr>
          <w:rFonts w:cs="Times New Roman"/>
        </w:rPr>
        <w:t xml:space="preserve">such as those in Sub-Saharan Africa (SSA) </w:t>
      </w:r>
      <w:r w:rsidR="00D33FF0" w:rsidRPr="00C92385">
        <w:rPr>
          <w:rFonts w:cs="Times New Roman"/>
        </w:rPr>
        <w:t xml:space="preserve">continue to </w:t>
      </w:r>
      <w:r w:rsidRPr="00C92385">
        <w:rPr>
          <w:rFonts w:cs="Times New Roman"/>
        </w:rPr>
        <w:t>employ various policies and strategies aimed at attracting FDI into their economies</w:t>
      </w:r>
      <w:r w:rsidR="006630C6">
        <w:rPr>
          <w:rFonts w:cs="Times New Roman"/>
        </w:rPr>
        <w:t xml:space="preserve"> (</w:t>
      </w:r>
      <w:proofErr w:type="spellStart"/>
      <w:r w:rsidR="006630C6">
        <w:rPr>
          <w:rFonts w:cs="Times New Roman"/>
        </w:rPr>
        <w:t>Mmieh</w:t>
      </w:r>
      <w:proofErr w:type="spellEnd"/>
      <w:r w:rsidR="006630C6">
        <w:rPr>
          <w:rFonts w:cs="Times New Roman"/>
        </w:rPr>
        <w:t xml:space="preserve"> &amp; </w:t>
      </w:r>
      <w:proofErr w:type="spellStart"/>
      <w:r w:rsidR="006630C6">
        <w:rPr>
          <w:rFonts w:cs="Times New Roman"/>
        </w:rPr>
        <w:t>Owusu-Frimpong</w:t>
      </w:r>
      <w:proofErr w:type="spellEnd"/>
      <w:r w:rsidR="006630C6">
        <w:rPr>
          <w:rFonts w:cs="Times New Roman"/>
        </w:rPr>
        <w:t>, 2004)</w:t>
      </w:r>
      <w:r w:rsidRPr="00C92385">
        <w:rPr>
          <w:rFonts w:cs="Times New Roman"/>
        </w:rPr>
        <w:t xml:space="preserve">. </w:t>
      </w:r>
      <w:r w:rsidR="00D33FF0" w:rsidRPr="00C92385">
        <w:rPr>
          <w:rFonts w:cs="Times New Roman"/>
        </w:rPr>
        <w:t>T</w:t>
      </w:r>
      <w:r w:rsidRPr="00C92385">
        <w:rPr>
          <w:rFonts w:cs="Times New Roman"/>
        </w:rPr>
        <w:t xml:space="preserve">he recent global economic downturn resulted in fierce competition among these nations </w:t>
      </w:r>
      <w:r w:rsidR="00D33FF0" w:rsidRPr="00C92385">
        <w:rPr>
          <w:rFonts w:cs="Times New Roman"/>
        </w:rPr>
        <w:t xml:space="preserve">to </w:t>
      </w:r>
      <w:r w:rsidRPr="00C92385">
        <w:rPr>
          <w:rFonts w:cs="Times New Roman"/>
        </w:rPr>
        <w:t>attract</w:t>
      </w:r>
      <w:r w:rsidR="00D33FF0" w:rsidRPr="00C92385">
        <w:rPr>
          <w:rFonts w:cs="Times New Roman"/>
        </w:rPr>
        <w:t xml:space="preserve"> much needed</w:t>
      </w:r>
      <w:r w:rsidRPr="00C92385">
        <w:rPr>
          <w:rFonts w:cs="Times New Roman"/>
        </w:rPr>
        <w:t xml:space="preserve"> FDI (</w:t>
      </w:r>
      <w:proofErr w:type="spellStart"/>
      <w:r w:rsidRPr="00C92385">
        <w:rPr>
          <w:rFonts w:cs="Times New Roman"/>
        </w:rPr>
        <w:t>Baek</w:t>
      </w:r>
      <w:proofErr w:type="spellEnd"/>
      <w:r w:rsidRPr="00C92385">
        <w:rPr>
          <w:rFonts w:cs="Times New Roman"/>
        </w:rPr>
        <w:t xml:space="preserve"> </w:t>
      </w:r>
      <w:r w:rsidR="00AC6BD2" w:rsidRPr="00C92385">
        <w:rPr>
          <w:rFonts w:cs="Times New Roman"/>
        </w:rPr>
        <w:t>&amp;</w:t>
      </w:r>
      <w:r w:rsidRPr="00C92385">
        <w:rPr>
          <w:rFonts w:cs="Times New Roman"/>
        </w:rPr>
        <w:t xml:space="preserve"> Qian, 2011). </w:t>
      </w:r>
      <w:r w:rsidR="00D33FF0" w:rsidRPr="00C92385">
        <w:rPr>
          <w:rFonts w:cs="Times New Roman"/>
        </w:rPr>
        <w:t>The concept of FDI is underlined by Multinational Enterprises’ (MNEs) quest to improve the</w:t>
      </w:r>
      <w:r w:rsidR="00492CB3" w:rsidRPr="00C92385">
        <w:rPr>
          <w:rFonts w:cs="Times New Roman"/>
        </w:rPr>
        <w:t>ir</w:t>
      </w:r>
      <w:r w:rsidR="00D33FF0" w:rsidRPr="00C92385">
        <w:rPr>
          <w:rFonts w:cs="Times New Roman"/>
        </w:rPr>
        <w:t xml:space="preserve"> fortunes through the exploitation of opportunities abroad. They achieve this by establishing lasting business interest in the chosen host country (Dunning, 1979). These MNEs consider various variables </w:t>
      </w:r>
      <w:r w:rsidR="002B71CD" w:rsidRPr="00C92385">
        <w:rPr>
          <w:rFonts w:cs="Times New Roman"/>
        </w:rPr>
        <w:t xml:space="preserve">before </w:t>
      </w:r>
      <w:r w:rsidR="00D33FF0" w:rsidRPr="00C92385">
        <w:rPr>
          <w:rFonts w:cs="Times New Roman"/>
        </w:rPr>
        <w:t xml:space="preserve">choosing </w:t>
      </w:r>
      <w:r w:rsidR="002B71CD" w:rsidRPr="00C92385">
        <w:rPr>
          <w:rFonts w:cs="Times New Roman"/>
        </w:rPr>
        <w:t>investment location(s)</w:t>
      </w:r>
      <w:r w:rsidR="00D33FF0" w:rsidRPr="00C92385">
        <w:rPr>
          <w:rFonts w:cs="Times New Roman"/>
        </w:rPr>
        <w:t xml:space="preserve">. </w:t>
      </w:r>
      <w:r w:rsidR="00212634">
        <w:rPr>
          <w:rFonts w:cs="Times New Roman"/>
        </w:rPr>
        <w:t>T</w:t>
      </w:r>
      <w:r w:rsidR="00D33FF0" w:rsidRPr="00C92385">
        <w:rPr>
          <w:rFonts w:cs="Times New Roman"/>
        </w:rPr>
        <w:t xml:space="preserve">hese factors </w:t>
      </w:r>
      <w:r w:rsidR="00212634">
        <w:rPr>
          <w:rFonts w:cs="Times New Roman"/>
        </w:rPr>
        <w:t>include</w:t>
      </w:r>
      <w:r w:rsidR="00D33FF0" w:rsidRPr="00C92385">
        <w:rPr>
          <w:rFonts w:cs="Times New Roman"/>
        </w:rPr>
        <w:t xml:space="preserve"> economic, political, social, technological and legal variables. </w:t>
      </w:r>
      <w:r w:rsidR="002E27B1">
        <w:rPr>
          <w:rFonts w:cs="Times New Roman"/>
        </w:rPr>
        <w:t xml:space="preserve">Strategic resources and capabilities of MNEs </w:t>
      </w:r>
      <w:r w:rsidR="002E27B1">
        <w:rPr>
          <w:rFonts w:cs="Times New Roman"/>
        </w:rPr>
        <w:lastRenderedPageBreak/>
        <w:t xml:space="preserve">influence how they are influenced </w:t>
      </w:r>
      <w:r w:rsidR="00305B02">
        <w:rPr>
          <w:rFonts w:cs="Times New Roman"/>
        </w:rPr>
        <w:t xml:space="preserve">by </w:t>
      </w:r>
      <w:r w:rsidR="002E27B1">
        <w:rPr>
          <w:rFonts w:cs="Times New Roman"/>
        </w:rPr>
        <w:t xml:space="preserve">political events (Frynas and </w:t>
      </w:r>
      <w:proofErr w:type="spellStart"/>
      <w:r w:rsidR="002E27B1">
        <w:rPr>
          <w:rFonts w:cs="Times New Roman"/>
        </w:rPr>
        <w:t>Mellali</w:t>
      </w:r>
      <w:proofErr w:type="spellEnd"/>
      <w:r w:rsidR="002E27B1">
        <w:rPr>
          <w:rFonts w:cs="Times New Roman"/>
        </w:rPr>
        <w:t xml:space="preserve">, 2003). </w:t>
      </w:r>
      <w:r w:rsidRPr="00C92385">
        <w:rPr>
          <w:rFonts w:cs="Times New Roman"/>
        </w:rPr>
        <w:t xml:space="preserve">One of the key considerations of MNEs </w:t>
      </w:r>
      <w:r w:rsidR="00305B02">
        <w:rPr>
          <w:rFonts w:cs="Times New Roman"/>
        </w:rPr>
        <w:t>prior to</w:t>
      </w:r>
      <w:r w:rsidRPr="00C92385">
        <w:rPr>
          <w:rFonts w:cs="Times New Roman"/>
        </w:rPr>
        <w:t xml:space="preserve"> embarking on FDI is </w:t>
      </w:r>
      <w:r w:rsidR="00492CB3" w:rsidRPr="00C92385">
        <w:rPr>
          <w:rFonts w:cs="Times New Roman"/>
        </w:rPr>
        <w:t xml:space="preserve">the </w:t>
      </w:r>
      <w:r w:rsidR="00305B02">
        <w:rPr>
          <w:rFonts w:cs="Times New Roman"/>
        </w:rPr>
        <w:t xml:space="preserve">expected impact of current </w:t>
      </w:r>
      <w:r w:rsidR="002B71CD" w:rsidRPr="00C92385">
        <w:rPr>
          <w:rFonts w:cs="Times New Roman"/>
        </w:rPr>
        <w:t xml:space="preserve">and projected political </w:t>
      </w:r>
      <w:r w:rsidRPr="00C92385">
        <w:rPr>
          <w:rFonts w:cs="Times New Roman"/>
        </w:rPr>
        <w:t>situation</w:t>
      </w:r>
      <w:r w:rsidR="00CD45ED">
        <w:rPr>
          <w:rFonts w:cs="Times New Roman"/>
        </w:rPr>
        <w:t>s</w:t>
      </w:r>
      <w:r w:rsidRPr="00C92385">
        <w:rPr>
          <w:rFonts w:cs="Times New Roman"/>
        </w:rPr>
        <w:t xml:space="preserve"> in the </w:t>
      </w:r>
      <w:r w:rsidR="00492CB3" w:rsidRPr="00C92385">
        <w:rPr>
          <w:rFonts w:cs="Times New Roman"/>
        </w:rPr>
        <w:t xml:space="preserve">prospective </w:t>
      </w:r>
      <w:r w:rsidRPr="00C92385">
        <w:rPr>
          <w:rFonts w:cs="Times New Roman"/>
        </w:rPr>
        <w:t>host nation</w:t>
      </w:r>
      <w:r w:rsidR="00492CB3" w:rsidRPr="00C92385">
        <w:rPr>
          <w:rFonts w:cs="Times New Roman"/>
        </w:rPr>
        <w:t>(s)</w:t>
      </w:r>
      <w:r w:rsidRPr="00C92385">
        <w:rPr>
          <w:rFonts w:cs="Times New Roman"/>
        </w:rPr>
        <w:t xml:space="preserve"> </w:t>
      </w:r>
      <w:r w:rsidR="00984610" w:rsidRPr="00C92385">
        <w:rPr>
          <w:rFonts w:cs="Times New Roman"/>
        </w:rPr>
        <w:t xml:space="preserve">on business operations and </w:t>
      </w:r>
      <w:r w:rsidR="005F3A88">
        <w:rPr>
          <w:rFonts w:cs="Times New Roman"/>
        </w:rPr>
        <w:t>performance, and</w:t>
      </w:r>
      <w:r w:rsidR="00CD45ED">
        <w:rPr>
          <w:rFonts w:cs="Times New Roman"/>
        </w:rPr>
        <w:t xml:space="preserve"> the </w:t>
      </w:r>
      <w:r w:rsidR="00984610" w:rsidRPr="00C92385">
        <w:rPr>
          <w:rFonts w:cs="Times New Roman"/>
        </w:rPr>
        <w:t xml:space="preserve">consequent </w:t>
      </w:r>
      <w:r w:rsidR="00CD45ED">
        <w:rPr>
          <w:rFonts w:cs="Times New Roman"/>
        </w:rPr>
        <w:t xml:space="preserve">effect on </w:t>
      </w:r>
      <w:r w:rsidR="00984610" w:rsidRPr="00C92385">
        <w:rPr>
          <w:rFonts w:cs="Times New Roman"/>
        </w:rPr>
        <w:t>profitability</w:t>
      </w:r>
      <w:r w:rsidR="00311635" w:rsidRPr="00C92385">
        <w:rPr>
          <w:rFonts w:cs="Times New Roman"/>
        </w:rPr>
        <w:t xml:space="preserve"> of investments</w:t>
      </w:r>
      <w:r w:rsidR="00984610" w:rsidRPr="00C92385">
        <w:rPr>
          <w:rFonts w:cs="Times New Roman"/>
        </w:rPr>
        <w:t>.</w:t>
      </w:r>
      <w:r w:rsidR="002E27B1">
        <w:rPr>
          <w:rFonts w:cs="Times New Roman"/>
        </w:rPr>
        <w:t xml:space="preserve"> </w:t>
      </w:r>
    </w:p>
    <w:p w:rsidR="002505FB" w:rsidRPr="00C92385" w:rsidRDefault="00971842" w:rsidP="00971842">
      <w:pPr>
        <w:ind w:firstLine="720"/>
        <w:rPr>
          <w:rFonts w:cs="Times New Roman"/>
        </w:rPr>
      </w:pPr>
      <w:r w:rsidRPr="00C92385">
        <w:rPr>
          <w:rFonts w:cs="Times New Roman"/>
        </w:rPr>
        <w:t xml:space="preserve">A review of existing literature on political risk and FDI revealed that </w:t>
      </w:r>
      <w:r w:rsidR="00B361CF">
        <w:rPr>
          <w:rFonts w:cs="Times New Roman"/>
        </w:rPr>
        <w:t xml:space="preserve">although </w:t>
      </w:r>
      <w:r w:rsidR="0092460A">
        <w:rPr>
          <w:rFonts w:cs="Times New Roman"/>
        </w:rPr>
        <w:t xml:space="preserve">there is an evident focus on developing economies </w:t>
      </w:r>
      <w:r w:rsidRPr="00C92385">
        <w:rPr>
          <w:rFonts w:cs="Times New Roman"/>
        </w:rPr>
        <w:t xml:space="preserve">there is </w:t>
      </w:r>
      <w:r w:rsidR="00492CB3" w:rsidRPr="00C92385">
        <w:rPr>
          <w:rFonts w:cs="Times New Roman"/>
        </w:rPr>
        <w:t xml:space="preserve">paucity of </w:t>
      </w:r>
      <w:r w:rsidRPr="00C92385">
        <w:rPr>
          <w:rFonts w:cs="Times New Roman"/>
        </w:rPr>
        <w:t xml:space="preserve">existing published empirical work on </w:t>
      </w:r>
      <w:r w:rsidR="0092460A">
        <w:rPr>
          <w:rFonts w:cs="Times New Roman"/>
        </w:rPr>
        <w:t>countries in Sub-Saharan Africa (SSA)</w:t>
      </w:r>
      <w:r w:rsidRPr="00C92385">
        <w:rPr>
          <w:rFonts w:cs="Times New Roman"/>
        </w:rPr>
        <w:t xml:space="preserve">. </w:t>
      </w:r>
      <w:r w:rsidR="002E27B1">
        <w:rPr>
          <w:rFonts w:cs="Times New Roman"/>
        </w:rPr>
        <w:t xml:space="preserve">Quantitative </w:t>
      </w:r>
      <w:r w:rsidR="00E9243F">
        <w:rPr>
          <w:rFonts w:cs="Times New Roman"/>
        </w:rPr>
        <w:t>s</w:t>
      </w:r>
      <w:r w:rsidRPr="00C92385">
        <w:rPr>
          <w:rFonts w:cs="Times New Roman"/>
        </w:rPr>
        <w:t xml:space="preserve">tudies that focus on specific SSA countries </w:t>
      </w:r>
      <w:r w:rsidR="0014438F" w:rsidRPr="00C92385">
        <w:rPr>
          <w:rFonts w:cs="Times New Roman"/>
        </w:rPr>
        <w:t xml:space="preserve">or </w:t>
      </w:r>
      <w:r w:rsidRPr="00C92385">
        <w:rPr>
          <w:rFonts w:cs="Times New Roman"/>
        </w:rPr>
        <w:t>sector</w:t>
      </w:r>
      <w:r w:rsidR="0014438F" w:rsidRPr="00C92385">
        <w:rPr>
          <w:rFonts w:cs="Times New Roman"/>
        </w:rPr>
        <w:t>s</w:t>
      </w:r>
      <w:r w:rsidRPr="00C92385">
        <w:rPr>
          <w:rFonts w:cs="Times New Roman"/>
        </w:rPr>
        <w:t xml:space="preserve"> </w:t>
      </w:r>
      <w:r w:rsidR="0014438F" w:rsidRPr="00C92385">
        <w:rPr>
          <w:rFonts w:cs="Times New Roman"/>
        </w:rPr>
        <w:t xml:space="preserve">are scarce as </w:t>
      </w:r>
      <w:r w:rsidRPr="00C92385">
        <w:rPr>
          <w:rFonts w:cs="Times New Roman"/>
        </w:rPr>
        <w:t>most of the</w:t>
      </w:r>
      <w:r w:rsidR="0014438F" w:rsidRPr="00C92385">
        <w:rPr>
          <w:rFonts w:cs="Times New Roman"/>
        </w:rPr>
        <w:t xml:space="preserve"> existing empirical works are</w:t>
      </w:r>
      <w:r w:rsidRPr="00C92385">
        <w:rPr>
          <w:rFonts w:cs="Times New Roman"/>
        </w:rPr>
        <w:t xml:space="preserve"> multi-country studies. </w:t>
      </w:r>
      <w:r w:rsidR="00E9243F">
        <w:rPr>
          <w:rFonts w:cs="Times New Roman"/>
        </w:rPr>
        <w:t>Cleeve (2012), for example</w:t>
      </w:r>
      <w:r w:rsidR="003C0FF3">
        <w:rPr>
          <w:rFonts w:cs="Times New Roman"/>
        </w:rPr>
        <w:t>,</w:t>
      </w:r>
      <w:r w:rsidR="00E9243F">
        <w:rPr>
          <w:rFonts w:cs="Times New Roman"/>
        </w:rPr>
        <w:t xml:space="preserve"> </w:t>
      </w:r>
      <w:r w:rsidRPr="00C92385">
        <w:rPr>
          <w:rFonts w:cs="Times New Roman"/>
        </w:rPr>
        <w:t>stud</w:t>
      </w:r>
      <w:r w:rsidR="00E9243F">
        <w:rPr>
          <w:rFonts w:cs="Times New Roman"/>
        </w:rPr>
        <w:t>ied p</w:t>
      </w:r>
      <w:r w:rsidRPr="00C92385">
        <w:rPr>
          <w:rFonts w:cs="Times New Roman"/>
        </w:rPr>
        <w:t xml:space="preserve">olitical and institutional impediments to </w:t>
      </w:r>
      <w:r w:rsidR="00E9243F">
        <w:rPr>
          <w:rFonts w:cs="Times New Roman"/>
        </w:rPr>
        <w:t xml:space="preserve">FDI </w:t>
      </w:r>
      <w:r w:rsidRPr="00C92385">
        <w:rPr>
          <w:rFonts w:cs="Times New Roman"/>
        </w:rPr>
        <w:t xml:space="preserve">inflows to </w:t>
      </w:r>
      <w:r w:rsidR="00E9243F">
        <w:rPr>
          <w:rFonts w:cs="Times New Roman"/>
        </w:rPr>
        <w:t>SSA</w:t>
      </w:r>
      <w:r w:rsidRPr="00C92385">
        <w:rPr>
          <w:rFonts w:cs="Times New Roman"/>
        </w:rPr>
        <w:t xml:space="preserve"> </w:t>
      </w:r>
      <w:r w:rsidR="00361328">
        <w:rPr>
          <w:rFonts w:cs="Times New Roman"/>
        </w:rPr>
        <w:t xml:space="preserve">and </w:t>
      </w:r>
      <w:r w:rsidRPr="00C92385">
        <w:rPr>
          <w:rFonts w:cs="Times New Roman"/>
        </w:rPr>
        <w:t xml:space="preserve">used cross-sectional time series data </w:t>
      </w:r>
      <w:r w:rsidR="00CD1FA4" w:rsidRPr="00C92385">
        <w:rPr>
          <w:rFonts w:cs="Times New Roman"/>
        </w:rPr>
        <w:t>to study</w:t>
      </w:r>
      <w:r w:rsidR="000E2A3A">
        <w:rPr>
          <w:rFonts w:cs="Times New Roman"/>
        </w:rPr>
        <w:t xml:space="preserve"> 40 SSA countries. In a conceptual paper</w:t>
      </w:r>
      <w:r w:rsidR="00CD45ED">
        <w:rPr>
          <w:rFonts w:cs="Times New Roman"/>
        </w:rPr>
        <w:t>,</w:t>
      </w:r>
      <w:r w:rsidR="000E2A3A">
        <w:rPr>
          <w:rFonts w:cs="Times New Roman"/>
        </w:rPr>
        <w:t xml:space="preserve"> </w:t>
      </w:r>
      <w:proofErr w:type="spellStart"/>
      <w:r w:rsidR="000E2A3A">
        <w:rPr>
          <w:rFonts w:cs="Times New Roman"/>
        </w:rPr>
        <w:t>Alon</w:t>
      </w:r>
      <w:proofErr w:type="spellEnd"/>
      <w:r w:rsidR="000E2A3A">
        <w:rPr>
          <w:rFonts w:cs="Times New Roman"/>
        </w:rPr>
        <w:t xml:space="preserve">, </w:t>
      </w:r>
      <w:proofErr w:type="spellStart"/>
      <w:r w:rsidR="000E2A3A">
        <w:rPr>
          <w:rFonts w:cs="Times New Roman"/>
        </w:rPr>
        <w:t>Gurumoorthy</w:t>
      </w:r>
      <w:proofErr w:type="spellEnd"/>
      <w:r w:rsidR="000E2A3A">
        <w:rPr>
          <w:rFonts w:cs="Times New Roman"/>
        </w:rPr>
        <w:t xml:space="preserve">, Mitchell and Steen (2006) emphasised the need for a framework for examining sector-specific micro-political risk. This clearly shows that there is a gap in the literature on how political risk influence </w:t>
      </w:r>
      <w:r w:rsidR="00361328">
        <w:rPr>
          <w:rFonts w:cs="Times New Roman"/>
        </w:rPr>
        <w:t xml:space="preserve">sector-specific </w:t>
      </w:r>
      <w:r w:rsidR="000E2A3A">
        <w:rPr>
          <w:rFonts w:cs="Times New Roman"/>
        </w:rPr>
        <w:t xml:space="preserve">FDI inflow. </w:t>
      </w:r>
      <w:proofErr w:type="spellStart"/>
      <w:r w:rsidR="00DE065B" w:rsidRPr="00C92385">
        <w:rPr>
          <w:rFonts w:cs="Times New Roman"/>
        </w:rPr>
        <w:t>Krifa</w:t>
      </w:r>
      <w:proofErr w:type="spellEnd"/>
      <w:r w:rsidR="00DE065B" w:rsidRPr="00C92385">
        <w:rPr>
          <w:rFonts w:cs="Times New Roman"/>
        </w:rPr>
        <w:t>-</w:t>
      </w:r>
      <w:r w:rsidRPr="00C92385">
        <w:rPr>
          <w:rFonts w:cs="Times New Roman"/>
        </w:rPr>
        <w:t xml:space="preserve">Schneider and </w:t>
      </w:r>
      <w:proofErr w:type="spellStart"/>
      <w:r w:rsidRPr="00C92385">
        <w:rPr>
          <w:rFonts w:cs="Times New Roman"/>
        </w:rPr>
        <w:t>Matei</w:t>
      </w:r>
      <w:proofErr w:type="spellEnd"/>
      <w:r w:rsidRPr="00C92385">
        <w:rPr>
          <w:rFonts w:cs="Times New Roman"/>
        </w:rPr>
        <w:t xml:space="preserve"> (201</w:t>
      </w:r>
      <w:r w:rsidR="00DE065B" w:rsidRPr="00C92385">
        <w:rPr>
          <w:rFonts w:cs="Times New Roman"/>
        </w:rPr>
        <w:t>0</w:t>
      </w:r>
      <w:r w:rsidRPr="00C92385">
        <w:rPr>
          <w:rFonts w:cs="Times New Roman"/>
        </w:rPr>
        <w:t>)</w:t>
      </w:r>
      <w:r w:rsidR="0014438F" w:rsidRPr="00C92385">
        <w:rPr>
          <w:rFonts w:cs="Times New Roman"/>
        </w:rPr>
        <w:t xml:space="preserve"> also</w:t>
      </w:r>
      <w:r w:rsidRPr="00C92385">
        <w:rPr>
          <w:rFonts w:cs="Times New Roman"/>
        </w:rPr>
        <w:t xml:space="preserve"> studied political risk and FDI in developing economies using panel data from 33 developing and transition economies. </w:t>
      </w:r>
      <w:proofErr w:type="spellStart"/>
      <w:r w:rsidRPr="00C92385">
        <w:rPr>
          <w:rFonts w:cs="Times New Roman"/>
        </w:rPr>
        <w:t>Baek</w:t>
      </w:r>
      <w:proofErr w:type="spellEnd"/>
      <w:r w:rsidRPr="00C92385">
        <w:rPr>
          <w:rFonts w:cs="Times New Roman"/>
        </w:rPr>
        <w:t xml:space="preserve"> and Qian (2011) used the ICRG twelve political risk indicators to compare the impact of political risk on FDI between developing and developed countries using 116 samples drawn from both markets. Unfor</w:t>
      </w:r>
      <w:r w:rsidR="0014438F" w:rsidRPr="00C92385">
        <w:rPr>
          <w:rFonts w:cs="Times New Roman"/>
        </w:rPr>
        <w:t xml:space="preserve">tunately, none of these studies covered </w:t>
      </w:r>
      <w:r w:rsidRPr="00C92385">
        <w:rPr>
          <w:rFonts w:cs="Times New Roman"/>
        </w:rPr>
        <w:t xml:space="preserve">in-depth </w:t>
      </w:r>
      <w:r w:rsidR="0014438F" w:rsidRPr="00C92385">
        <w:rPr>
          <w:rFonts w:cs="Times New Roman"/>
        </w:rPr>
        <w:t xml:space="preserve">analysis that </w:t>
      </w:r>
      <w:r w:rsidRPr="00C92385">
        <w:rPr>
          <w:rFonts w:cs="Times New Roman"/>
        </w:rPr>
        <w:t>focus</w:t>
      </w:r>
      <w:r w:rsidR="0014438F" w:rsidRPr="00C92385">
        <w:rPr>
          <w:rFonts w:cs="Times New Roman"/>
        </w:rPr>
        <w:t>es</w:t>
      </w:r>
      <w:r w:rsidRPr="00C92385">
        <w:rPr>
          <w:rFonts w:cs="Times New Roman"/>
        </w:rPr>
        <w:t xml:space="preserve"> on a particular </w:t>
      </w:r>
      <w:r w:rsidR="0014438F" w:rsidRPr="00C92385">
        <w:rPr>
          <w:rFonts w:cs="Times New Roman"/>
        </w:rPr>
        <w:t xml:space="preserve">country and/or </w:t>
      </w:r>
      <w:r w:rsidRPr="00C92385">
        <w:rPr>
          <w:rFonts w:cs="Times New Roman"/>
        </w:rPr>
        <w:t xml:space="preserve">specific sector </w:t>
      </w:r>
      <w:r w:rsidR="0014438F" w:rsidRPr="00C92385">
        <w:rPr>
          <w:rFonts w:cs="Times New Roman"/>
        </w:rPr>
        <w:t xml:space="preserve">such as the </w:t>
      </w:r>
      <w:r w:rsidRPr="00C92385">
        <w:rPr>
          <w:rFonts w:cs="Times New Roman"/>
        </w:rPr>
        <w:t>telecommunication</w:t>
      </w:r>
      <w:r w:rsidR="0014438F" w:rsidRPr="00C92385">
        <w:rPr>
          <w:rFonts w:cs="Times New Roman"/>
        </w:rPr>
        <w:t>s</w:t>
      </w:r>
      <w:r w:rsidRPr="00C92385">
        <w:rPr>
          <w:rFonts w:cs="Times New Roman"/>
        </w:rPr>
        <w:t xml:space="preserve"> sector </w:t>
      </w:r>
      <w:r w:rsidR="0014438F" w:rsidRPr="00C92385">
        <w:rPr>
          <w:rFonts w:cs="Times New Roman"/>
        </w:rPr>
        <w:t>considered in this stud</w:t>
      </w:r>
      <w:r w:rsidR="00A95344" w:rsidRPr="00C92385">
        <w:rPr>
          <w:rFonts w:cs="Times New Roman"/>
        </w:rPr>
        <w:t>y</w:t>
      </w:r>
      <w:r w:rsidR="0014438F" w:rsidRPr="00C92385">
        <w:rPr>
          <w:rFonts w:cs="Times New Roman"/>
        </w:rPr>
        <w:t>.</w:t>
      </w:r>
      <w:r w:rsidRPr="00C92385">
        <w:rPr>
          <w:rFonts w:cs="Times New Roman"/>
        </w:rPr>
        <w:t xml:space="preserve"> </w:t>
      </w:r>
    </w:p>
    <w:p w:rsidR="002505FB" w:rsidRPr="00C92385" w:rsidRDefault="0014438F" w:rsidP="002505FB">
      <w:pPr>
        <w:ind w:firstLine="720"/>
        <w:rPr>
          <w:rFonts w:cs="Times New Roman"/>
        </w:rPr>
      </w:pPr>
      <w:r w:rsidRPr="00C92385">
        <w:rPr>
          <w:rFonts w:cs="Times New Roman"/>
        </w:rPr>
        <w:t>Other noticeable gaps in the existing literature on the subject are the absence of studies that comprehensively</w:t>
      </w:r>
      <w:r w:rsidR="00971842" w:rsidRPr="00C92385">
        <w:rPr>
          <w:rFonts w:cs="Times New Roman"/>
        </w:rPr>
        <w:t xml:space="preserve"> </w:t>
      </w:r>
      <w:r w:rsidRPr="00C92385">
        <w:rPr>
          <w:rFonts w:cs="Times New Roman"/>
        </w:rPr>
        <w:t>cover</w:t>
      </w:r>
      <w:r w:rsidR="004A222B" w:rsidRPr="00C92385">
        <w:rPr>
          <w:rFonts w:cs="Times New Roman"/>
        </w:rPr>
        <w:t>ed</w:t>
      </w:r>
      <w:r w:rsidRPr="00C92385">
        <w:rPr>
          <w:rFonts w:cs="Times New Roman"/>
        </w:rPr>
        <w:t xml:space="preserve"> </w:t>
      </w:r>
      <w:r w:rsidR="00971842" w:rsidRPr="00C92385">
        <w:rPr>
          <w:rFonts w:cs="Times New Roman"/>
        </w:rPr>
        <w:t xml:space="preserve">the </w:t>
      </w:r>
      <w:r w:rsidR="00CD45ED">
        <w:rPr>
          <w:rFonts w:cs="Times New Roman"/>
        </w:rPr>
        <w:t xml:space="preserve">whole range of </w:t>
      </w:r>
      <w:r w:rsidR="00971842" w:rsidRPr="00C92385">
        <w:rPr>
          <w:rFonts w:cs="Times New Roman"/>
        </w:rPr>
        <w:t>political risk components. Most studies looked at</w:t>
      </w:r>
      <w:r w:rsidRPr="00C92385">
        <w:rPr>
          <w:rFonts w:cs="Times New Roman"/>
        </w:rPr>
        <w:t xml:space="preserve"> a few </w:t>
      </w:r>
      <w:r w:rsidR="00971842" w:rsidRPr="00C92385">
        <w:rPr>
          <w:rFonts w:cs="Times New Roman"/>
        </w:rPr>
        <w:t xml:space="preserve">of the components </w:t>
      </w:r>
      <w:r w:rsidRPr="00C92385">
        <w:rPr>
          <w:rFonts w:cs="Times New Roman"/>
        </w:rPr>
        <w:t xml:space="preserve">with the </w:t>
      </w:r>
      <w:r w:rsidR="00971842" w:rsidRPr="00C92385">
        <w:rPr>
          <w:rFonts w:cs="Times New Roman"/>
        </w:rPr>
        <w:t xml:space="preserve">most </w:t>
      </w:r>
      <w:r w:rsidR="00732DDB" w:rsidRPr="00C92385">
        <w:rPr>
          <w:rFonts w:cs="Times New Roman"/>
        </w:rPr>
        <w:t>commonly studied</w:t>
      </w:r>
      <w:r w:rsidRPr="00C92385">
        <w:rPr>
          <w:rFonts w:cs="Times New Roman"/>
        </w:rPr>
        <w:t xml:space="preserve"> components being </w:t>
      </w:r>
      <w:r w:rsidR="00971842" w:rsidRPr="00C92385">
        <w:rPr>
          <w:rFonts w:cs="Times New Roman"/>
        </w:rPr>
        <w:t xml:space="preserve">democracy and corruption. Some of these works </w:t>
      </w:r>
      <w:r w:rsidR="00CA5283">
        <w:rPr>
          <w:rFonts w:cs="Times New Roman"/>
        </w:rPr>
        <w:t>include</w:t>
      </w:r>
      <w:r w:rsidR="00971842" w:rsidRPr="00C92385">
        <w:rPr>
          <w:rFonts w:cs="Times New Roman"/>
        </w:rPr>
        <w:t xml:space="preserve"> </w:t>
      </w:r>
      <w:proofErr w:type="spellStart"/>
      <w:r w:rsidR="00971842" w:rsidRPr="00C92385">
        <w:rPr>
          <w:rFonts w:cs="Times New Roman"/>
        </w:rPr>
        <w:t>Okafor</w:t>
      </w:r>
      <w:proofErr w:type="spellEnd"/>
      <w:r w:rsidRPr="00C92385">
        <w:rPr>
          <w:rFonts w:cs="Times New Roman"/>
        </w:rPr>
        <w:t xml:space="preserve">, </w:t>
      </w:r>
      <w:proofErr w:type="spellStart"/>
      <w:r w:rsidRPr="00C92385">
        <w:rPr>
          <w:rFonts w:cs="Times New Roman"/>
        </w:rPr>
        <w:t>Ujah</w:t>
      </w:r>
      <w:proofErr w:type="spellEnd"/>
      <w:r w:rsidR="002505FB" w:rsidRPr="00C92385">
        <w:rPr>
          <w:rFonts w:cs="Times New Roman"/>
        </w:rPr>
        <w:t xml:space="preserve">, </w:t>
      </w:r>
      <w:proofErr w:type="spellStart"/>
      <w:r w:rsidR="002505FB" w:rsidRPr="00C92385">
        <w:rPr>
          <w:rFonts w:cs="Times New Roman"/>
        </w:rPr>
        <w:t>Elkassabgi</w:t>
      </w:r>
      <w:proofErr w:type="spellEnd"/>
      <w:r w:rsidR="002505FB" w:rsidRPr="00C92385">
        <w:rPr>
          <w:rFonts w:cs="Times New Roman"/>
        </w:rPr>
        <w:t xml:space="preserve"> and </w:t>
      </w:r>
      <w:proofErr w:type="spellStart"/>
      <w:r w:rsidR="002505FB" w:rsidRPr="00C92385">
        <w:rPr>
          <w:rFonts w:cs="Times New Roman"/>
        </w:rPr>
        <w:t>Ajalie</w:t>
      </w:r>
      <w:proofErr w:type="spellEnd"/>
      <w:r w:rsidR="002505FB" w:rsidRPr="00C92385">
        <w:rPr>
          <w:rFonts w:cs="Times New Roman"/>
        </w:rPr>
        <w:t xml:space="preserve"> </w:t>
      </w:r>
      <w:r w:rsidR="00971842" w:rsidRPr="00C92385">
        <w:rPr>
          <w:rFonts w:cs="Times New Roman"/>
        </w:rPr>
        <w:t xml:space="preserve">(2011) </w:t>
      </w:r>
      <w:r w:rsidR="00CA5283">
        <w:rPr>
          <w:rFonts w:cs="Times New Roman"/>
        </w:rPr>
        <w:t>who</w:t>
      </w:r>
      <w:r w:rsidR="00971842" w:rsidRPr="00C92385">
        <w:rPr>
          <w:rFonts w:cs="Times New Roman"/>
        </w:rPr>
        <w:t xml:space="preserve"> studied </w:t>
      </w:r>
      <w:r w:rsidR="002505FB" w:rsidRPr="00C92385">
        <w:rPr>
          <w:rFonts w:cs="Times New Roman"/>
        </w:rPr>
        <w:t>d</w:t>
      </w:r>
      <w:r w:rsidR="00971842" w:rsidRPr="00C92385">
        <w:rPr>
          <w:rFonts w:cs="Times New Roman"/>
        </w:rPr>
        <w:t xml:space="preserve">emocracy and FDI inflow in </w:t>
      </w:r>
      <w:r w:rsidR="002C1CC4">
        <w:rPr>
          <w:rFonts w:cs="Times New Roman"/>
        </w:rPr>
        <w:t>SSA</w:t>
      </w:r>
      <w:r w:rsidR="00A95344" w:rsidRPr="00C92385">
        <w:rPr>
          <w:rFonts w:cs="Times New Roman"/>
        </w:rPr>
        <w:t>.</w:t>
      </w:r>
      <w:r w:rsidR="00971842" w:rsidRPr="00C92385">
        <w:rPr>
          <w:rFonts w:cs="Times New Roman"/>
        </w:rPr>
        <w:t xml:space="preserve"> </w:t>
      </w:r>
      <w:proofErr w:type="spellStart"/>
      <w:r w:rsidR="00971842" w:rsidRPr="00C92385">
        <w:rPr>
          <w:rFonts w:cs="Times New Roman"/>
        </w:rPr>
        <w:t>Asiedu</w:t>
      </w:r>
      <w:proofErr w:type="spellEnd"/>
      <w:r w:rsidR="00971842" w:rsidRPr="00C92385">
        <w:rPr>
          <w:rFonts w:cs="Times New Roman"/>
        </w:rPr>
        <w:t xml:space="preserve"> (2006)</w:t>
      </w:r>
      <w:r w:rsidR="00A95344" w:rsidRPr="00C92385">
        <w:rPr>
          <w:rFonts w:cs="Times New Roman"/>
        </w:rPr>
        <w:t xml:space="preserve"> also</w:t>
      </w:r>
      <w:r w:rsidR="00971842" w:rsidRPr="00C92385">
        <w:rPr>
          <w:rFonts w:cs="Times New Roman"/>
        </w:rPr>
        <w:t xml:space="preserve"> looked at the role of three political components – government policy, institutions and pol</w:t>
      </w:r>
      <w:r w:rsidR="002505FB" w:rsidRPr="00C92385">
        <w:rPr>
          <w:rFonts w:cs="Times New Roman"/>
        </w:rPr>
        <w:t>itical instability on FDI in Africa.  This research paper studies</w:t>
      </w:r>
      <w:r w:rsidR="00CA5283">
        <w:rPr>
          <w:rFonts w:cs="Times New Roman"/>
        </w:rPr>
        <w:t>,</w:t>
      </w:r>
      <w:r w:rsidR="002505FB" w:rsidRPr="00C92385">
        <w:rPr>
          <w:rFonts w:cs="Times New Roman"/>
        </w:rPr>
        <w:t xml:space="preserve"> in considerable depth</w:t>
      </w:r>
      <w:r w:rsidR="00CA5283">
        <w:rPr>
          <w:rFonts w:cs="Times New Roman"/>
        </w:rPr>
        <w:t>,</w:t>
      </w:r>
      <w:r w:rsidR="002505FB" w:rsidRPr="00C92385">
        <w:rPr>
          <w:rFonts w:cs="Times New Roman"/>
        </w:rPr>
        <w:t xml:space="preserve"> a particular SSA country, Nigeria, and also uses</w:t>
      </w:r>
      <w:r w:rsidR="00A95344" w:rsidRPr="00C92385">
        <w:rPr>
          <w:rFonts w:cs="Times New Roman"/>
        </w:rPr>
        <w:t xml:space="preserve"> all</w:t>
      </w:r>
      <w:r w:rsidR="002505FB" w:rsidRPr="00C92385">
        <w:rPr>
          <w:rFonts w:cs="Times New Roman"/>
        </w:rPr>
        <w:t xml:space="preserve"> the 12-category political risk indicators compiled by the Political Risk Service Group (PRS) with the aim of identifying how each of the indicators </w:t>
      </w:r>
      <w:r w:rsidR="000E2A3A">
        <w:rPr>
          <w:rFonts w:cs="Times New Roman"/>
        </w:rPr>
        <w:t xml:space="preserve">could </w:t>
      </w:r>
      <w:r w:rsidR="002505FB" w:rsidRPr="00C92385">
        <w:rPr>
          <w:rFonts w:cs="Times New Roman"/>
        </w:rPr>
        <w:t>influence FDI inflow into a specific sector</w:t>
      </w:r>
      <w:r w:rsidR="00A83724">
        <w:rPr>
          <w:rFonts w:cs="Times New Roman"/>
        </w:rPr>
        <w:t xml:space="preserve"> – the</w:t>
      </w:r>
      <w:r w:rsidR="002505FB" w:rsidRPr="00C92385">
        <w:rPr>
          <w:rFonts w:cs="Times New Roman"/>
        </w:rPr>
        <w:t xml:space="preserve"> telecommunication industry.   </w:t>
      </w:r>
    </w:p>
    <w:p w:rsidR="000B6850" w:rsidRPr="00C92385" w:rsidRDefault="00C676A7" w:rsidP="00052248">
      <w:pPr>
        <w:ind w:firstLine="720"/>
        <w:rPr>
          <w:rFonts w:cs="Times New Roman"/>
        </w:rPr>
      </w:pPr>
      <w:r w:rsidRPr="00C92385">
        <w:rPr>
          <w:rFonts w:cs="Times New Roman"/>
        </w:rPr>
        <w:t xml:space="preserve">UNCTAD (2013) reported that </w:t>
      </w:r>
      <w:r w:rsidR="00971842" w:rsidRPr="00C92385">
        <w:rPr>
          <w:rFonts w:cs="Times New Roman"/>
        </w:rPr>
        <w:t>al</w:t>
      </w:r>
      <w:r w:rsidRPr="00C92385">
        <w:rPr>
          <w:rFonts w:cs="Times New Roman"/>
        </w:rPr>
        <w:t xml:space="preserve">though Africa had a 5% increase in FDI inflows in 2012, Nigeria witnessed decreasing inflows within the same period noting that </w:t>
      </w:r>
      <w:r w:rsidRPr="00052248">
        <w:rPr>
          <w:rFonts w:cs="Times New Roman"/>
        </w:rPr>
        <w:t xml:space="preserve">Nigeria’s FDI inflows </w:t>
      </w:r>
      <w:r w:rsidRPr="00052248">
        <w:rPr>
          <w:rFonts w:cs="Times New Roman"/>
        </w:rPr>
        <w:lastRenderedPageBreak/>
        <w:t xml:space="preserve">fell from $8.9B in 2011 to $7.0B in 2012 as a result of political insecurity and </w:t>
      </w:r>
      <w:r w:rsidR="002505FB" w:rsidRPr="00052248">
        <w:rPr>
          <w:rFonts w:cs="Times New Roman"/>
        </w:rPr>
        <w:t xml:space="preserve">the </w:t>
      </w:r>
      <w:r w:rsidRPr="00052248">
        <w:rPr>
          <w:rFonts w:cs="Times New Roman"/>
        </w:rPr>
        <w:t xml:space="preserve">weak global economy. </w:t>
      </w:r>
      <w:r w:rsidR="00CD45ED">
        <w:rPr>
          <w:rFonts w:cs="Times New Roman"/>
        </w:rPr>
        <w:t xml:space="preserve">Political insecurity, a political risk, which has been prevalent in Nigeria, warrants attention in the international business literature. </w:t>
      </w:r>
      <w:r w:rsidR="002505FB" w:rsidRPr="00052248">
        <w:rPr>
          <w:rFonts w:cs="Times New Roman"/>
        </w:rPr>
        <w:t xml:space="preserve">This downward trend affected the </w:t>
      </w:r>
      <w:r w:rsidRPr="00052248">
        <w:rPr>
          <w:rFonts w:cs="Times New Roman"/>
        </w:rPr>
        <w:t>Nigerian telecommunication</w:t>
      </w:r>
      <w:r w:rsidR="002505FB" w:rsidRPr="00052248">
        <w:rPr>
          <w:rFonts w:cs="Times New Roman"/>
        </w:rPr>
        <w:t>s</w:t>
      </w:r>
      <w:r w:rsidRPr="00052248">
        <w:rPr>
          <w:rFonts w:cs="Times New Roman"/>
        </w:rPr>
        <w:t xml:space="preserve"> industry </w:t>
      </w:r>
      <w:r w:rsidR="002505FB" w:rsidRPr="00052248">
        <w:rPr>
          <w:rFonts w:cs="Times New Roman"/>
        </w:rPr>
        <w:t>and da</w:t>
      </w:r>
      <w:r w:rsidRPr="00052248">
        <w:rPr>
          <w:rFonts w:cs="Times New Roman"/>
        </w:rPr>
        <w:t xml:space="preserve">ta from the World Bank (2013) shows a declining </w:t>
      </w:r>
      <w:r w:rsidR="005A32EB" w:rsidRPr="00052248">
        <w:rPr>
          <w:rFonts w:cs="Times New Roman"/>
        </w:rPr>
        <w:t xml:space="preserve">FDI </w:t>
      </w:r>
      <w:r w:rsidRPr="00052248">
        <w:rPr>
          <w:rFonts w:cs="Times New Roman"/>
        </w:rPr>
        <w:t>inflow since 2009</w:t>
      </w:r>
      <w:r w:rsidR="005A32EB" w:rsidRPr="00052248">
        <w:rPr>
          <w:rFonts w:cs="Times New Roman"/>
        </w:rPr>
        <w:t>,</w:t>
      </w:r>
      <w:r w:rsidRPr="00052248">
        <w:rPr>
          <w:rFonts w:cs="Times New Roman"/>
        </w:rPr>
        <w:t xml:space="preserve"> with 2011 alone witnessing a huge </w:t>
      </w:r>
      <w:r w:rsidR="005A32EB" w:rsidRPr="00052248">
        <w:rPr>
          <w:rFonts w:cs="Times New Roman"/>
        </w:rPr>
        <w:t>(</w:t>
      </w:r>
      <w:r w:rsidRPr="00052248">
        <w:rPr>
          <w:rFonts w:cs="Times New Roman"/>
        </w:rPr>
        <w:t>51</w:t>
      </w:r>
      <w:r w:rsidR="00367639" w:rsidRPr="00052248">
        <w:rPr>
          <w:rFonts w:cs="Times New Roman"/>
        </w:rPr>
        <w:t xml:space="preserve"> per cent</w:t>
      </w:r>
      <w:r w:rsidR="005A32EB" w:rsidRPr="00052248">
        <w:rPr>
          <w:rFonts w:cs="Times New Roman"/>
        </w:rPr>
        <w:t>)</w:t>
      </w:r>
      <w:r w:rsidRPr="00052248">
        <w:rPr>
          <w:rFonts w:cs="Times New Roman"/>
        </w:rPr>
        <w:t xml:space="preserve"> drop in net </w:t>
      </w:r>
      <w:r w:rsidR="005A32EB" w:rsidRPr="00052248">
        <w:rPr>
          <w:rFonts w:cs="Times New Roman"/>
        </w:rPr>
        <w:t xml:space="preserve">FDI </w:t>
      </w:r>
      <w:r w:rsidRPr="00052248">
        <w:rPr>
          <w:rFonts w:cs="Times New Roman"/>
        </w:rPr>
        <w:t xml:space="preserve">inflows </w:t>
      </w:r>
      <w:r w:rsidR="002505FB" w:rsidRPr="00052248">
        <w:rPr>
          <w:rFonts w:cs="Times New Roman"/>
        </w:rPr>
        <w:t>in</w:t>
      </w:r>
      <w:r w:rsidRPr="00052248">
        <w:rPr>
          <w:rFonts w:cs="Times New Roman"/>
        </w:rPr>
        <w:t xml:space="preserve">to the sector from $3.03Billion in 2010 to $1.48Billion in 2011. </w:t>
      </w:r>
      <w:r w:rsidR="002505FB" w:rsidRPr="00052248">
        <w:rPr>
          <w:rFonts w:cs="Times New Roman"/>
        </w:rPr>
        <w:t xml:space="preserve">This means that it is </w:t>
      </w:r>
      <w:r w:rsidRPr="00052248">
        <w:rPr>
          <w:rFonts w:cs="Times New Roman"/>
        </w:rPr>
        <w:t xml:space="preserve">important </w:t>
      </w:r>
      <w:r w:rsidR="002505FB" w:rsidRPr="00052248">
        <w:rPr>
          <w:rFonts w:cs="Times New Roman"/>
        </w:rPr>
        <w:t xml:space="preserve">and strategic </w:t>
      </w:r>
      <w:r w:rsidRPr="00052248">
        <w:rPr>
          <w:rFonts w:cs="Times New Roman"/>
        </w:rPr>
        <w:t xml:space="preserve">to consider how much impact political risk </w:t>
      </w:r>
      <w:r w:rsidR="002505FB" w:rsidRPr="00052248">
        <w:rPr>
          <w:rFonts w:cs="Times New Roman"/>
        </w:rPr>
        <w:t xml:space="preserve">influenced the </w:t>
      </w:r>
      <w:r w:rsidRPr="00052248">
        <w:rPr>
          <w:rFonts w:cs="Times New Roman"/>
        </w:rPr>
        <w:t>FDI flows in the Nigerian telecommunication</w:t>
      </w:r>
      <w:r w:rsidR="002505FB" w:rsidRPr="00052248">
        <w:rPr>
          <w:rFonts w:cs="Times New Roman"/>
        </w:rPr>
        <w:t>s</w:t>
      </w:r>
      <w:r w:rsidR="00052248">
        <w:rPr>
          <w:rFonts w:cs="Times New Roman"/>
        </w:rPr>
        <w:t xml:space="preserve"> industry. </w:t>
      </w:r>
      <w:r w:rsidR="004C11A9" w:rsidRPr="00C92385">
        <w:rPr>
          <w:rFonts w:cs="Times New Roman"/>
        </w:rPr>
        <w:t>This study focus</w:t>
      </w:r>
      <w:r w:rsidR="00052248">
        <w:rPr>
          <w:rFonts w:cs="Times New Roman"/>
        </w:rPr>
        <w:t>es</w:t>
      </w:r>
      <w:r w:rsidR="004C11A9" w:rsidRPr="00C92385">
        <w:rPr>
          <w:rFonts w:cs="Times New Roman"/>
        </w:rPr>
        <w:t xml:space="preserve"> on the immediate post liberalization years as </w:t>
      </w:r>
      <w:r w:rsidR="007B20D2" w:rsidRPr="00C92385">
        <w:rPr>
          <w:rFonts w:cs="Times New Roman"/>
        </w:rPr>
        <w:t xml:space="preserve">the </w:t>
      </w:r>
      <w:r w:rsidR="004C11A9" w:rsidRPr="00C92385">
        <w:rPr>
          <w:rFonts w:cs="Times New Roman"/>
        </w:rPr>
        <w:t xml:space="preserve">literature has shown that FDI inflows into the industry stabilized in 2002 after the </w:t>
      </w:r>
      <w:r w:rsidR="00732DDB" w:rsidRPr="00C92385">
        <w:rPr>
          <w:rFonts w:cs="Times New Roman"/>
        </w:rPr>
        <w:t xml:space="preserve">Nigerian Global System for Mobile (GSM) </w:t>
      </w:r>
      <w:r w:rsidR="004C11A9" w:rsidRPr="00C92385">
        <w:rPr>
          <w:rFonts w:cs="Times New Roman"/>
        </w:rPr>
        <w:t xml:space="preserve">auction of 2001. This study will not include the year 2001 as the extraordinary </w:t>
      </w:r>
      <w:r w:rsidR="00A83724">
        <w:rPr>
          <w:rFonts w:cs="Times New Roman"/>
        </w:rPr>
        <w:t xml:space="preserve">one-off </w:t>
      </w:r>
      <w:r w:rsidR="004C11A9" w:rsidRPr="00C92385">
        <w:rPr>
          <w:rFonts w:cs="Times New Roman"/>
        </w:rPr>
        <w:t xml:space="preserve">net inflow </w:t>
      </w:r>
      <w:r w:rsidR="00A97731" w:rsidRPr="00C92385">
        <w:rPr>
          <w:rFonts w:cs="Times New Roman"/>
        </w:rPr>
        <w:t xml:space="preserve">from the auction proceeds </w:t>
      </w:r>
      <w:r w:rsidR="00A83724">
        <w:rPr>
          <w:rFonts w:cs="Times New Roman"/>
        </w:rPr>
        <w:t xml:space="preserve">in that year </w:t>
      </w:r>
      <w:r w:rsidR="004C11A9" w:rsidRPr="00C92385">
        <w:rPr>
          <w:rFonts w:cs="Times New Roman"/>
        </w:rPr>
        <w:t xml:space="preserve">could bias the entire data. </w:t>
      </w:r>
    </w:p>
    <w:p w:rsidR="0093285D" w:rsidRPr="00602840" w:rsidRDefault="004B2835" w:rsidP="00C1767D">
      <w:pPr>
        <w:ind w:firstLine="720"/>
        <w:rPr>
          <w:rFonts w:cs="Times New Roman"/>
        </w:rPr>
      </w:pPr>
      <w:r w:rsidRPr="00C92385">
        <w:rPr>
          <w:rFonts w:cs="Times New Roman"/>
        </w:rPr>
        <w:t>Preliminary research has identified a number of indicators by which political risk is measured. Some of these indicators are: corruption, political stability, internal and external conflicts, ethnic and religious issues, socio-economic conditions, government policy and type of government (</w:t>
      </w:r>
      <w:proofErr w:type="spellStart"/>
      <w:r w:rsidR="000C142F" w:rsidRPr="00C92385">
        <w:rPr>
          <w:rFonts w:cs="Times New Roman"/>
        </w:rPr>
        <w:t>Aguiar</w:t>
      </w:r>
      <w:proofErr w:type="spellEnd"/>
      <w:r w:rsidR="000C142F" w:rsidRPr="00C92385">
        <w:rPr>
          <w:rFonts w:cs="Times New Roman"/>
        </w:rPr>
        <w:t xml:space="preserve">, </w:t>
      </w:r>
      <w:proofErr w:type="spellStart"/>
      <w:r w:rsidR="000C142F" w:rsidRPr="00C92385">
        <w:rPr>
          <w:rFonts w:cs="Times New Roman"/>
        </w:rPr>
        <w:t>Auira-Conraria</w:t>
      </w:r>
      <w:proofErr w:type="spellEnd"/>
      <w:r w:rsidR="000C142F" w:rsidRPr="00C92385">
        <w:rPr>
          <w:rFonts w:cs="Times New Roman"/>
        </w:rPr>
        <w:t xml:space="preserve">, </w:t>
      </w:r>
      <w:proofErr w:type="spellStart"/>
      <w:r w:rsidR="000C142F" w:rsidRPr="00C92385">
        <w:rPr>
          <w:rFonts w:cs="Times New Roman"/>
        </w:rPr>
        <w:t>Gulamhussen</w:t>
      </w:r>
      <w:proofErr w:type="spellEnd"/>
      <w:r w:rsidR="000C142F" w:rsidRPr="00C92385">
        <w:rPr>
          <w:rFonts w:cs="Times New Roman"/>
        </w:rPr>
        <w:t xml:space="preserve"> &amp; </w:t>
      </w:r>
      <w:proofErr w:type="spellStart"/>
      <w:r w:rsidR="000C142F" w:rsidRPr="00C92385">
        <w:rPr>
          <w:rFonts w:cs="Times New Roman"/>
        </w:rPr>
        <w:t>Magalhaes</w:t>
      </w:r>
      <w:proofErr w:type="spellEnd"/>
      <w:r w:rsidR="000C142F" w:rsidRPr="00C92385">
        <w:rPr>
          <w:rFonts w:cs="Times New Roman"/>
        </w:rPr>
        <w:t>, 20</w:t>
      </w:r>
      <w:r w:rsidR="00C1767D">
        <w:rPr>
          <w:rFonts w:cs="Times New Roman"/>
        </w:rPr>
        <w:t>12</w:t>
      </w:r>
      <w:r w:rsidR="000C142F" w:rsidRPr="00C92385">
        <w:rPr>
          <w:rFonts w:cs="Times New Roman"/>
        </w:rPr>
        <w:t xml:space="preserve">; </w:t>
      </w:r>
      <w:r w:rsidRPr="00C92385">
        <w:rPr>
          <w:rFonts w:cs="Times New Roman"/>
        </w:rPr>
        <w:t>PRS, 201</w:t>
      </w:r>
      <w:r w:rsidR="00361328">
        <w:rPr>
          <w:rFonts w:cs="Times New Roman"/>
        </w:rPr>
        <w:t>4</w:t>
      </w:r>
      <w:r w:rsidRPr="00C92385">
        <w:rPr>
          <w:rFonts w:cs="Times New Roman"/>
        </w:rPr>
        <w:t xml:space="preserve">). </w:t>
      </w:r>
      <w:r w:rsidR="00052248">
        <w:rPr>
          <w:rFonts w:cs="Times New Roman"/>
        </w:rPr>
        <w:t xml:space="preserve">We investigate the </w:t>
      </w:r>
      <w:r w:rsidRPr="00C92385">
        <w:rPr>
          <w:rFonts w:cs="Times New Roman"/>
        </w:rPr>
        <w:t>relationship between these political risk components and FD</w:t>
      </w:r>
      <w:r w:rsidR="00361328">
        <w:rPr>
          <w:rFonts w:cs="Times New Roman"/>
        </w:rPr>
        <w:t>I</w:t>
      </w:r>
      <w:r w:rsidR="00052248">
        <w:rPr>
          <w:rFonts w:cs="Times New Roman"/>
        </w:rPr>
        <w:t>.</w:t>
      </w:r>
      <w:r w:rsidRPr="00C92385">
        <w:rPr>
          <w:rFonts w:cs="Times New Roman"/>
        </w:rPr>
        <w:t xml:space="preserve"> </w:t>
      </w:r>
      <w:r w:rsidR="00A97731" w:rsidRPr="00C92385">
        <w:rPr>
          <w:rFonts w:cs="Times New Roman"/>
        </w:rPr>
        <w:t>T</w:t>
      </w:r>
      <w:r w:rsidRPr="00C92385">
        <w:rPr>
          <w:rFonts w:cs="Times New Roman"/>
        </w:rPr>
        <w:t>he main objective of the study</w:t>
      </w:r>
      <w:r w:rsidR="00A97731" w:rsidRPr="00C92385">
        <w:rPr>
          <w:rFonts w:cs="Times New Roman"/>
        </w:rPr>
        <w:t>, therefore,</w:t>
      </w:r>
      <w:r w:rsidRPr="00C92385">
        <w:rPr>
          <w:rFonts w:cs="Times New Roman"/>
        </w:rPr>
        <w:t xml:space="preserve"> will be to investigate the influence of political risk </w:t>
      </w:r>
      <w:r w:rsidR="00052248">
        <w:rPr>
          <w:rFonts w:cs="Times New Roman"/>
        </w:rPr>
        <w:t xml:space="preserve">on FDI </w:t>
      </w:r>
      <w:r w:rsidRPr="00C92385">
        <w:rPr>
          <w:rFonts w:cs="Times New Roman"/>
        </w:rPr>
        <w:t xml:space="preserve">inflow </w:t>
      </w:r>
      <w:r w:rsidR="00763193" w:rsidRPr="00C92385">
        <w:rPr>
          <w:rFonts w:cs="Times New Roman"/>
        </w:rPr>
        <w:t>to</w:t>
      </w:r>
      <w:r w:rsidRPr="00C92385">
        <w:rPr>
          <w:rFonts w:cs="Times New Roman"/>
        </w:rPr>
        <w:t xml:space="preserve"> </w:t>
      </w:r>
      <w:r w:rsidR="00052248">
        <w:rPr>
          <w:rFonts w:cs="Times New Roman"/>
        </w:rPr>
        <w:t xml:space="preserve">SSA using the case of the </w:t>
      </w:r>
      <w:r w:rsidRPr="00C92385">
        <w:rPr>
          <w:rFonts w:cs="Times New Roman"/>
        </w:rPr>
        <w:t xml:space="preserve">Nigerian telecommunications industry. </w:t>
      </w:r>
      <w:r w:rsidRPr="00602840">
        <w:rPr>
          <w:rFonts w:cs="Times New Roman"/>
        </w:rPr>
        <w:t>Th</w:t>
      </w:r>
      <w:r w:rsidR="0093285D" w:rsidRPr="00602840">
        <w:rPr>
          <w:rFonts w:cs="Times New Roman"/>
        </w:rPr>
        <w:t>is</w:t>
      </w:r>
      <w:r w:rsidRPr="00602840">
        <w:rPr>
          <w:rFonts w:cs="Times New Roman"/>
        </w:rPr>
        <w:t xml:space="preserve"> study seek</w:t>
      </w:r>
      <w:r w:rsidR="00A83724">
        <w:rPr>
          <w:rFonts w:cs="Times New Roman"/>
        </w:rPr>
        <w:t>s</w:t>
      </w:r>
      <w:r w:rsidRPr="00602840">
        <w:rPr>
          <w:rFonts w:cs="Times New Roman"/>
        </w:rPr>
        <w:t xml:space="preserve"> to </w:t>
      </w:r>
      <w:r w:rsidR="00052248">
        <w:rPr>
          <w:rFonts w:cs="Times New Roman"/>
        </w:rPr>
        <w:t xml:space="preserve">use </w:t>
      </w:r>
      <w:r w:rsidR="00A83724">
        <w:rPr>
          <w:rFonts w:cs="Times New Roman"/>
        </w:rPr>
        <w:t xml:space="preserve">political risk </w:t>
      </w:r>
      <w:r w:rsidR="00052248" w:rsidRPr="00602840">
        <w:rPr>
          <w:rFonts w:cs="Times New Roman"/>
        </w:rPr>
        <w:t>components</w:t>
      </w:r>
      <w:r w:rsidR="00052248">
        <w:rPr>
          <w:rFonts w:cs="Times New Roman"/>
        </w:rPr>
        <w:t xml:space="preserve"> and net FDI inflow data </w:t>
      </w:r>
      <w:r w:rsidR="005B6406">
        <w:rPr>
          <w:rFonts w:cs="Times New Roman"/>
        </w:rPr>
        <w:t xml:space="preserve">to </w:t>
      </w:r>
      <w:r w:rsidRPr="00602840">
        <w:rPr>
          <w:rFonts w:cs="Times New Roman"/>
        </w:rPr>
        <w:t>provide answers to</w:t>
      </w:r>
      <w:r w:rsidR="0093285D" w:rsidRPr="00602840">
        <w:rPr>
          <w:rFonts w:cs="Times New Roman"/>
        </w:rPr>
        <w:t xml:space="preserve"> the following research questions</w:t>
      </w:r>
      <w:r w:rsidR="00763193" w:rsidRPr="00602840">
        <w:rPr>
          <w:rFonts w:cs="Times New Roman"/>
        </w:rPr>
        <w:t xml:space="preserve">: </w:t>
      </w:r>
    </w:p>
    <w:p w:rsidR="0093285D" w:rsidRPr="00602840" w:rsidRDefault="00052248" w:rsidP="00602840">
      <w:pPr>
        <w:pStyle w:val="ListParagraph"/>
        <w:numPr>
          <w:ilvl w:val="0"/>
          <w:numId w:val="31"/>
        </w:numPr>
        <w:rPr>
          <w:rFonts w:ascii="Times New Roman" w:hAnsi="Times New Roman"/>
        </w:rPr>
      </w:pPr>
      <w:r>
        <w:rPr>
          <w:rFonts w:ascii="Times New Roman" w:hAnsi="Times New Roman"/>
        </w:rPr>
        <w:t xml:space="preserve">What is the </w:t>
      </w:r>
      <w:r w:rsidR="004B2835" w:rsidRPr="00602840">
        <w:rPr>
          <w:rFonts w:ascii="Times New Roman" w:hAnsi="Times New Roman"/>
        </w:rPr>
        <w:t>impact</w:t>
      </w:r>
      <w:r>
        <w:rPr>
          <w:rFonts w:ascii="Times New Roman" w:hAnsi="Times New Roman"/>
        </w:rPr>
        <w:t xml:space="preserve"> of </w:t>
      </w:r>
      <w:r w:rsidR="004B2835" w:rsidRPr="00602840">
        <w:rPr>
          <w:rFonts w:ascii="Times New Roman" w:hAnsi="Times New Roman"/>
        </w:rPr>
        <w:t xml:space="preserve">political risk </w:t>
      </w:r>
      <w:r w:rsidR="00F35010">
        <w:rPr>
          <w:rFonts w:ascii="Times New Roman" w:hAnsi="Times New Roman"/>
        </w:rPr>
        <w:t xml:space="preserve">on FDI </w:t>
      </w:r>
      <w:r w:rsidR="00763193" w:rsidRPr="00602840">
        <w:rPr>
          <w:rFonts w:ascii="Times New Roman" w:hAnsi="Times New Roman"/>
        </w:rPr>
        <w:t>in</w:t>
      </w:r>
      <w:r w:rsidR="004B2835" w:rsidRPr="00602840">
        <w:rPr>
          <w:rFonts w:ascii="Times New Roman" w:hAnsi="Times New Roman"/>
        </w:rPr>
        <w:t xml:space="preserve">flow </w:t>
      </w:r>
      <w:r w:rsidR="00492CB3" w:rsidRPr="00602840">
        <w:rPr>
          <w:rFonts w:ascii="Times New Roman" w:hAnsi="Times New Roman"/>
        </w:rPr>
        <w:t xml:space="preserve">to </w:t>
      </w:r>
      <w:r w:rsidR="004B2835" w:rsidRPr="00602840">
        <w:rPr>
          <w:rFonts w:ascii="Times New Roman" w:hAnsi="Times New Roman"/>
        </w:rPr>
        <w:t>developing econom</w:t>
      </w:r>
      <w:r w:rsidR="00492CB3" w:rsidRPr="00602840">
        <w:rPr>
          <w:rFonts w:ascii="Times New Roman" w:hAnsi="Times New Roman"/>
        </w:rPr>
        <w:t>ies</w:t>
      </w:r>
      <w:r w:rsidR="004B2835" w:rsidRPr="00602840">
        <w:rPr>
          <w:rFonts w:ascii="Times New Roman" w:hAnsi="Times New Roman"/>
        </w:rPr>
        <w:t xml:space="preserve">? </w:t>
      </w:r>
    </w:p>
    <w:p w:rsidR="0093285D" w:rsidRPr="00602840" w:rsidRDefault="00052248" w:rsidP="00602840">
      <w:pPr>
        <w:pStyle w:val="ListParagraph"/>
        <w:numPr>
          <w:ilvl w:val="0"/>
          <w:numId w:val="31"/>
        </w:numPr>
        <w:rPr>
          <w:rFonts w:ascii="Times New Roman" w:hAnsi="Times New Roman"/>
        </w:rPr>
      </w:pPr>
      <w:r>
        <w:rPr>
          <w:rFonts w:ascii="Times New Roman" w:hAnsi="Times New Roman"/>
        </w:rPr>
        <w:t xml:space="preserve">Which </w:t>
      </w:r>
      <w:r w:rsidR="0093285D" w:rsidRPr="00602840">
        <w:rPr>
          <w:rFonts w:ascii="Times New Roman" w:hAnsi="Times New Roman"/>
        </w:rPr>
        <w:t xml:space="preserve">political risk </w:t>
      </w:r>
      <w:r w:rsidR="005632E9" w:rsidRPr="00602840">
        <w:rPr>
          <w:rFonts w:ascii="Times New Roman" w:hAnsi="Times New Roman"/>
        </w:rPr>
        <w:t>components</w:t>
      </w:r>
      <w:r w:rsidR="0093285D" w:rsidRPr="00602840">
        <w:rPr>
          <w:rFonts w:ascii="Times New Roman" w:hAnsi="Times New Roman"/>
        </w:rPr>
        <w:t xml:space="preserve"> </w:t>
      </w:r>
      <w:r>
        <w:rPr>
          <w:rFonts w:ascii="Times New Roman" w:hAnsi="Times New Roman"/>
        </w:rPr>
        <w:t xml:space="preserve">influence </w:t>
      </w:r>
      <w:r w:rsidR="00F35010">
        <w:rPr>
          <w:rFonts w:ascii="Times New Roman" w:hAnsi="Times New Roman"/>
        </w:rPr>
        <w:t xml:space="preserve">sector-specific </w:t>
      </w:r>
      <w:r w:rsidR="005B6406">
        <w:rPr>
          <w:rFonts w:ascii="Times New Roman" w:hAnsi="Times New Roman"/>
        </w:rPr>
        <w:t>FDI</w:t>
      </w:r>
      <w:r w:rsidR="0093285D" w:rsidRPr="00602840">
        <w:rPr>
          <w:rFonts w:ascii="Times New Roman" w:hAnsi="Times New Roman"/>
        </w:rPr>
        <w:t xml:space="preserve"> </w:t>
      </w:r>
      <w:r w:rsidR="005B6406">
        <w:rPr>
          <w:rFonts w:ascii="Times New Roman" w:hAnsi="Times New Roman"/>
        </w:rPr>
        <w:t>in</w:t>
      </w:r>
      <w:r w:rsidR="0093285D" w:rsidRPr="00602840">
        <w:rPr>
          <w:rFonts w:ascii="Times New Roman" w:hAnsi="Times New Roman"/>
        </w:rPr>
        <w:t xml:space="preserve">flow </w:t>
      </w:r>
      <w:r>
        <w:rPr>
          <w:rFonts w:ascii="Times New Roman" w:hAnsi="Times New Roman"/>
        </w:rPr>
        <w:t>in</w:t>
      </w:r>
      <w:r w:rsidR="005B6406">
        <w:rPr>
          <w:rFonts w:ascii="Times New Roman" w:hAnsi="Times New Roman"/>
        </w:rPr>
        <w:t>to</w:t>
      </w:r>
      <w:r w:rsidR="0093285D" w:rsidRPr="00602840">
        <w:rPr>
          <w:rFonts w:ascii="Times New Roman" w:hAnsi="Times New Roman"/>
        </w:rPr>
        <w:t xml:space="preserve"> Africa?  </w:t>
      </w:r>
    </w:p>
    <w:p w:rsidR="00602840" w:rsidRPr="00F35010" w:rsidRDefault="00602840" w:rsidP="00F35010">
      <w:pPr>
        <w:pStyle w:val="ListParagraph"/>
        <w:numPr>
          <w:ilvl w:val="0"/>
          <w:numId w:val="31"/>
        </w:numPr>
        <w:rPr>
          <w:rFonts w:ascii="Times New Roman" w:hAnsi="Times New Roman"/>
        </w:rPr>
      </w:pPr>
      <w:r w:rsidRPr="00602840">
        <w:rPr>
          <w:rFonts w:ascii="Times New Roman" w:hAnsi="Times New Roman"/>
        </w:rPr>
        <w:t>H</w:t>
      </w:r>
      <w:r w:rsidR="004B2835" w:rsidRPr="00602840">
        <w:rPr>
          <w:rFonts w:ascii="Times New Roman" w:hAnsi="Times New Roman"/>
        </w:rPr>
        <w:t xml:space="preserve">ow </w:t>
      </w:r>
      <w:r w:rsidR="00F35010" w:rsidRPr="00602840">
        <w:rPr>
          <w:rFonts w:ascii="Times New Roman" w:hAnsi="Times New Roman"/>
        </w:rPr>
        <w:t>do</w:t>
      </w:r>
      <w:r w:rsidR="00F35010">
        <w:rPr>
          <w:rFonts w:ascii="Times New Roman" w:hAnsi="Times New Roman"/>
        </w:rPr>
        <w:t xml:space="preserve"> individual political risk components</w:t>
      </w:r>
      <w:r w:rsidR="004B2835" w:rsidRPr="00602840">
        <w:rPr>
          <w:rFonts w:ascii="Times New Roman" w:hAnsi="Times New Roman"/>
        </w:rPr>
        <w:t xml:space="preserve"> impact </w:t>
      </w:r>
      <w:r w:rsidR="00492CB3" w:rsidRPr="00602840">
        <w:rPr>
          <w:rFonts w:ascii="Times New Roman" w:hAnsi="Times New Roman"/>
        </w:rPr>
        <w:t xml:space="preserve">on </w:t>
      </w:r>
      <w:r w:rsidR="004B2835" w:rsidRPr="00602840">
        <w:rPr>
          <w:rFonts w:ascii="Times New Roman" w:hAnsi="Times New Roman"/>
        </w:rPr>
        <w:t xml:space="preserve">the </w:t>
      </w:r>
      <w:r w:rsidR="005B6406">
        <w:rPr>
          <w:rFonts w:ascii="Times New Roman" w:hAnsi="Times New Roman"/>
        </w:rPr>
        <w:t xml:space="preserve">FDI </w:t>
      </w:r>
      <w:r w:rsidR="00492CB3" w:rsidRPr="00602840">
        <w:rPr>
          <w:rFonts w:ascii="Times New Roman" w:hAnsi="Times New Roman"/>
        </w:rPr>
        <w:t>in</w:t>
      </w:r>
      <w:r w:rsidR="004B2835" w:rsidRPr="00602840">
        <w:rPr>
          <w:rFonts w:ascii="Times New Roman" w:hAnsi="Times New Roman"/>
        </w:rPr>
        <w:t>flow in</w:t>
      </w:r>
      <w:r w:rsidR="00492CB3" w:rsidRPr="00602840">
        <w:rPr>
          <w:rFonts w:ascii="Times New Roman" w:hAnsi="Times New Roman"/>
        </w:rPr>
        <w:t>to</w:t>
      </w:r>
      <w:r w:rsidR="004B2835" w:rsidRPr="00602840">
        <w:rPr>
          <w:rFonts w:ascii="Times New Roman" w:hAnsi="Times New Roman"/>
        </w:rPr>
        <w:t xml:space="preserve"> the Nigerian </w:t>
      </w:r>
      <w:r w:rsidR="007B20D2" w:rsidRPr="00602840">
        <w:rPr>
          <w:rFonts w:ascii="Times New Roman" w:hAnsi="Times New Roman"/>
        </w:rPr>
        <w:t>t</w:t>
      </w:r>
      <w:r w:rsidR="004B2835" w:rsidRPr="00602840">
        <w:rPr>
          <w:rFonts w:ascii="Times New Roman" w:hAnsi="Times New Roman"/>
        </w:rPr>
        <w:t>elecommunication</w:t>
      </w:r>
      <w:r w:rsidR="007B20D2" w:rsidRPr="00602840">
        <w:rPr>
          <w:rFonts w:ascii="Times New Roman" w:hAnsi="Times New Roman"/>
        </w:rPr>
        <w:t>s</w:t>
      </w:r>
      <w:r w:rsidR="004B2835" w:rsidRPr="00602840">
        <w:rPr>
          <w:rFonts w:ascii="Times New Roman" w:hAnsi="Times New Roman"/>
        </w:rPr>
        <w:t xml:space="preserve"> industry?</w:t>
      </w:r>
    </w:p>
    <w:p w:rsidR="00070F71" w:rsidRPr="00C92385" w:rsidRDefault="00070F71" w:rsidP="00F35010">
      <w:pPr>
        <w:rPr>
          <w:rFonts w:cs="Times New Roman"/>
        </w:rPr>
      </w:pPr>
      <w:r w:rsidRPr="00C92385">
        <w:rPr>
          <w:rFonts w:cs="Times New Roman"/>
        </w:rPr>
        <w:t xml:space="preserve">The </w:t>
      </w:r>
      <w:r w:rsidR="004B2835" w:rsidRPr="00C92385">
        <w:rPr>
          <w:rFonts w:cs="Times New Roman"/>
        </w:rPr>
        <w:t xml:space="preserve">rest of the paper is organised as follows. First, we review the theoretical and empirical literature on political risk and FDI. Second, we </w:t>
      </w:r>
      <w:r w:rsidR="00F35010">
        <w:rPr>
          <w:rFonts w:cs="Times New Roman"/>
        </w:rPr>
        <w:t>develop a contextual framework by giving insights into</w:t>
      </w:r>
      <w:r w:rsidR="004B2835" w:rsidRPr="00C92385">
        <w:rPr>
          <w:rFonts w:cs="Times New Roman"/>
        </w:rPr>
        <w:t xml:space="preserve"> FDI in</w:t>
      </w:r>
      <w:r w:rsidR="00492CB3" w:rsidRPr="00C92385">
        <w:rPr>
          <w:rFonts w:cs="Times New Roman"/>
        </w:rPr>
        <w:t>flow into</w:t>
      </w:r>
      <w:r w:rsidR="004B2835" w:rsidRPr="00C92385">
        <w:rPr>
          <w:rFonts w:cs="Times New Roman"/>
        </w:rPr>
        <w:t xml:space="preserve"> the Nigerian telecommunications industry. Third, we discuss the </w:t>
      </w:r>
      <w:r w:rsidR="00F35010">
        <w:rPr>
          <w:rFonts w:cs="Times New Roman"/>
        </w:rPr>
        <w:t xml:space="preserve">adopted </w:t>
      </w:r>
      <w:r w:rsidR="004B2835" w:rsidRPr="00C92385">
        <w:rPr>
          <w:rFonts w:cs="Times New Roman"/>
        </w:rPr>
        <w:t>methodology</w:t>
      </w:r>
      <w:r w:rsidRPr="00C92385">
        <w:rPr>
          <w:rFonts w:cs="Times New Roman"/>
        </w:rPr>
        <w:t xml:space="preserve"> </w:t>
      </w:r>
      <w:r w:rsidR="00F35010">
        <w:rPr>
          <w:rFonts w:cs="Times New Roman"/>
        </w:rPr>
        <w:t>and sources of data for this study</w:t>
      </w:r>
      <w:r w:rsidR="00047590" w:rsidRPr="00C92385">
        <w:rPr>
          <w:rFonts w:cs="Times New Roman"/>
        </w:rPr>
        <w:t>.</w:t>
      </w:r>
      <w:r w:rsidRPr="00C92385">
        <w:rPr>
          <w:rFonts w:cs="Times New Roman"/>
        </w:rPr>
        <w:t xml:space="preserve"> </w:t>
      </w:r>
      <w:r w:rsidR="0092460A">
        <w:rPr>
          <w:rFonts w:cs="Times New Roman"/>
        </w:rPr>
        <w:t xml:space="preserve">Fourth, </w:t>
      </w:r>
      <w:r w:rsidR="005E2079" w:rsidRPr="00C92385">
        <w:rPr>
          <w:rFonts w:cs="Times New Roman"/>
        </w:rPr>
        <w:t xml:space="preserve">we </w:t>
      </w:r>
      <w:r w:rsidR="00047590" w:rsidRPr="00C92385">
        <w:rPr>
          <w:rFonts w:cs="Times New Roman"/>
        </w:rPr>
        <w:t>present and</w:t>
      </w:r>
      <w:r w:rsidR="005E2079" w:rsidRPr="00C92385">
        <w:rPr>
          <w:rFonts w:cs="Times New Roman"/>
        </w:rPr>
        <w:t xml:space="preserve"> analyse the</w:t>
      </w:r>
      <w:r w:rsidR="00047590" w:rsidRPr="00C92385">
        <w:rPr>
          <w:rFonts w:cs="Times New Roman"/>
        </w:rPr>
        <w:t xml:space="preserve"> findings</w:t>
      </w:r>
      <w:r w:rsidR="005E2079" w:rsidRPr="00C92385">
        <w:rPr>
          <w:rFonts w:cs="Times New Roman"/>
        </w:rPr>
        <w:t>. Fi</w:t>
      </w:r>
      <w:r w:rsidR="0092460A">
        <w:rPr>
          <w:rFonts w:cs="Times New Roman"/>
        </w:rPr>
        <w:t>fth</w:t>
      </w:r>
      <w:r w:rsidR="005E2079" w:rsidRPr="00C92385">
        <w:rPr>
          <w:rFonts w:cs="Times New Roman"/>
        </w:rPr>
        <w:t xml:space="preserve">, we </w:t>
      </w:r>
      <w:r w:rsidR="00F35010">
        <w:rPr>
          <w:rFonts w:cs="Times New Roman"/>
        </w:rPr>
        <w:t xml:space="preserve">conclude and discuss the </w:t>
      </w:r>
      <w:r w:rsidR="005E2079" w:rsidRPr="00C92385">
        <w:rPr>
          <w:rFonts w:cs="Times New Roman"/>
        </w:rPr>
        <w:t>implications of our findings and then set an agenda for future research</w:t>
      </w:r>
      <w:r w:rsidR="00047590" w:rsidRPr="00C92385">
        <w:rPr>
          <w:rFonts w:cs="Times New Roman"/>
        </w:rPr>
        <w:t>.</w:t>
      </w:r>
    </w:p>
    <w:p w:rsidR="00A7620A" w:rsidRDefault="00A7620A" w:rsidP="00C97786">
      <w:pPr>
        <w:rPr>
          <w:b/>
        </w:rPr>
      </w:pPr>
    </w:p>
    <w:p w:rsidR="00706A66" w:rsidRPr="00C92385" w:rsidRDefault="00C97786" w:rsidP="00C97786">
      <w:pPr>
        <w:rPr>
          <w:b/>
        </w:rPr>
      </w:pPr>
      <w:r w:rsidRPr="00C92385">
        <w:rPr>
          <w:b/>
        </w:rPr>
        <w:lastRenderedPageBreak/>
        <w:t xml:space="preserve">Theoretical and Empirical </w:t>
      </w:r>
      <w:r w:rsidR="00706A66" w:rsidRPr="00C92385">
        <w:rPr>
          <w:b/>
        </w:rPr>
        <w:t>Literature Review</w:t>
      </w:r>
    </w:p>
    <w:p w:rsidR="00B17ED1" w:rsidRDefault="00B172C5" w:rsidP="00B17ED1">
      <w:pPr>
        <w:rPr>
          <w:rFonts w:cs="Times New Roman"/>
          <w:lang w:val="en-US"/>
        </w:rPr>
      </w:pPr>
      <w:r>
        <w:rPr>
          <w:lang w:val="en"/>
        </w:rPr>
        <w:t xml:space="preserve">Political risks are influenced by institutional factors. </w:t>
      </w:r>
      <w:r w:rsidR="00F35010">
        <w:rPr>
          <w:lang w:val="en"/>
        </w:rPr>
        <w:t xml:space="preserve">Home country institutions, which facilitate or constrain firm performance, </w:t>
      </w:r>
      <w:r w:rsidR="00C32BB7">
        <w:rPr>
          <w:lang w:val="en"/>
        </w:rPr>
        <w:t xml:space="preserve">establish the basis for </w:t>
      </w:r>
      <w:r w:rsidR="00F35010">
        <w:rPr>
          <w:lang w:val="en"/>
        </w:rPr>
        <w:t xml:space="preserve">economic activities of </w:t>
      </w:r>
      <w:r w:rsidR="00C32BB7">
        <w:rPr>
          <w:lang w:val="en"/>
        </w:rPr>
        <w:t>firm</w:t>
      </w:r>
      <w:r w:rsidR="00F35010">
        <w:rPr>
          <w:lang w:val="en"/>
        </w:rPr>
        <w:t>s</w:t>
      </w:r>
      <w:r w:rsidR="00C32BB7">
        <w:rPr>
          <w:lang w:val="en"/>
        </w:rPr>
        <w:t xml:space="preserve"> (North, 1990)</w:t>
      </w:r>
      <w:r>
        <w:rPr>
          <w:lang w:val="en"/>
        </w:rPr>
        <w:t>.</w:t>
      </w:r>
      <w:r w:rsidR="00C32BB7" w:rsidRPr="0024538C">
        <w:t xml:space="preserve"> </w:t>
      </w:r>
      <w:r w:rsidR="0024538C" w:rsidRPr="0024538C">
        <w:t xml:space="preserve">Institutions govern societal transactions in the areas of politics (e.g. corruption, transparency), law (e.g. regulatory regime) and society (e.g. ethical norms) </w:t>
      </w:r>
      <w:r w:rsidR="0024538C" w:rsidRPr="0024538C">
        <w:fldChar w:fldCharType="begin"/>
      </w:r>
      <w:r w:rsidR="0024538C" w:rsidRPr="0024538C">
        <w:instrText xml:space="preserve"> ADDIN EN.CITE &lt;EndNote&gt;&lt;Cite&gt;&lt;Author&gt;Peng&lt;/Author&gt;&lt;Year&gt;2008&lt;/Year&gt;&lt;RecNum&gt;398&lt;/RecNum&gt;&lt;record&gt;&lt;rec-number&gt;398&lt;/rec-number&gt;&lt;ref-type name="Journal Article"&gt;17&lt;/ref-type&gt;&lt;contributors&gt;&lt;authors&gt;&lt;author&gt;Peng, M.W&lt;/author&gt;&lt;author&gt;Wang, D.Y.L&lt;/author&gt;&lt;author&gt;Jiang, Y&lt;/author&gt;&lt;/authors&gt;&lt;/contributors&gt;&lt;titles&gt;&lt;title&gt;An institution-based view of international business strategy: a focus on emerging economies&lt;/title&gt;&lt;secondary-title&gt;Journal of International Business Studies&lt;/secondary-title&gt;&lt;/titles&gt;&lt;periodical&gt;&lt;full-title&gt;Journal of International Business Studies&lt;/full-title&gt;&lt;/periodical&gt;&lt;pages&gt;920-936&lt;/pages&gt;&lt;volume&gt;39&lt;/volume&gt;&lt;dates&gt;&lt;year&gt;2008&lt;/year&gt;&lt;/dates&gt;&lt;urls&gt;&lt;/urls&gt;&lt;/record&gt;&lt;/Cite&gt;&lt;/EndNote&gt;</w:instrText>
      </w:r>
      <w:r w:rsidR="0024538C" w:rsidRPr="0024538C">
        <w:fldChar w:fldCharType="separate"/>
      </w:r>
      <w:r w:rsidR="00322C5E">
        <w:rPr>
          <w:rFonts w:eastAsia="Times New Roman" w:cs="Times New Roman"/>
          <w:lang w:eastAsia="en-US"/>
        </w:rPr>
        <w:t>(</w:t>
      </w:r>
      <w:r w:rsidR="00322C5E" w:rsidRPr="0024538C">
        <w:rPr>
          <w:rFonts w:eastAsia="Times New Roman" w:cs="Times New Roman"/>
          <w:lang w:eastAsia="en-US"/>
        </w:rPr>
        <w:t>Peng, Wang, and Jiang</w:t>
      </w:r>
      <w:r w:rsidR="00322C5E">
        <w:rPr>
          <w:rFonts w:eastAsia="Times New Roman" w:cs="Times New Roman"/>
          <w:lang w:eastAsia="en-US"/>
        </w:rPr>
        <w:t xml:space="preserve">, </w:t>
      </w:r>
      <w:r w:rsidR="00322C5E" w:rsidRPr="0024538C">
        <w:rPr>
          <w:rFonts w:eastAsia="Times New Roman" w:cs="Times New Roman"/>
          <w:lang w:eastAsia="en-US"/>
        </w:rPr>
        <w:t>2008)</w:t>
      </w:r>
      <w:r w:rsidR="0024538C" w:rsidRPr="0024538C">
        <w:fldChar w:fldCharType="end"/>
      </w:r>
      <w:r w:rsidR="0024538C" w:rsidRPr="0024538C">
        <w:t xml:space="preserve">. </w:t>
      </w:r>
      <w:r>
        <w:rPr>
          <w:rFonts w:cs="Times New Roman"/>
        </w:rPr>
        <w:t xml:space="preserve">Peng et al. (2008) further note that institutional arrangements </w:t>
      </w:r>
      <w:r w:rsidR="000B3C9C">
        <w:rPr>
          <w:rFonts w:cs="Times New Roman"/>
        </w:rPr>
        <w:t xml:space="preserve">in developing </w:t>
      </w:r>
      <w:r>
        <w:rPr>
          <w:rFonts w:cs="Times New Roman"/>
        </w:rPr>
        <w:t xml:space="preserve">countries differ significantly from developed countries. </w:t>
      </w:r>
      <w:r w:rsidR="000B3C9C">
        <w:rPr>
          <w:rFonts w:cs="Times New Roman"/>
        </w:rPr>
        <w:t>P</w:t>
      </w:r>
      <w:r>
        <w:t xml:space="preserve">olitical </w:t>
      </w:r>
      <w:r w:rsidR="003C0FF3">
        <w:t>risks are</w:t>
      </w:r>
      <w:r>
        <w:t xml:space="preserve"> </w:t>
      </w:r>
      <w:r w:rsidR="00621821">
        <w:t>institutional in nature</w:t>
      </w:r>
      <w:r w:rsidR="00CA5283">
        <w:t>;</w:t>
      </w:r>
      <w:r w:rsidR="00621821">
        <w:t xml:space="preserve"> </w:t>
      </w:r>
      <w:r w:rsidR="003C0FF3">
        <w:t>institutional weaknesses are prevalent in developing countries such as those in SSA.</w:t>
      </w:r>
      <w:r w:rsidR="00621821">
        <w:rPr>
          <w:rFonts w:cs="Times New Roman"/>
        </w:rPr>
        <w:t xml:space="preserve"> </w:t>
      </w:r>
      <w:proofErr w:type="spellStart"/>
      <w:r w:rsidR="0081290F">
        <w:rPr>
          <w:rFonts w:cs="Times New Roman"/>
          <w:lang w:val="en-US"/>
        </w:rPr>
        <w:t>Freckleton</w:t>
      </w:r>
      <w:proofErr w:type="spellEnd"/>
      <w:r w:rsidR="0081290F">
        <w:rPr>
          <w:rFonts w:cs="Times New Roman"/>
          <w:lang w:val="en-US"/>
        </w:rPr>
        <w:t xml:space="preserve">, Wright and </w:t>
      </w:r>
      <w:proofErr w:type="spellStart"/>
      <w:r w:rsidR="0081290F">
        <w:rPr>
          <w:rFonts w:cs="Times New Roman"/>
          <w:lang w:val="en-US"/>
        </w:rPr>
        <w:t>Craigwell</w:t>
      </w:r>
      <w:proofErr w:type="spellEnd"/>
      <w:r w:rsidR="0081290F">
        <w:rPr>
          <w:rFonts w:cs="Times New Roman"/>
          <w:lang w:val="en-US"/>
        </w:rPr>
        <w:t xml:space="preserve"> (2012) find that lower levels of </w:t>
      </w:r>
      <w:r w:rsidR="0081290F" w:rsidRPr="009E26D1">
        <w:rPr>
          <w:rFonts w:cs="Times New Roman"/>
          <w:lang w:val="en-US"/>
        </w:rPr>
        <w:t>corruption</w:t>
      </w:r>
      <w:r w:rsidR="0081290F">
        <w:rPr>
          <w:rFonts w:cs="Times New Roman"/>
          <w:lang w:val="en-US"/>
        </w:rPr>
        <w:t xml:space="preserve"> (an institutional phenomenon) in developing countries</w:t>
      </w:r>
      <w:r w:rsidR="0081290F" w:rsidRPr="009E26D1">
        <w:rPr>
          <w:rFonts w:cs="Times New Roman"/>
          <w:lang w:val="en-US"/>
        </w:rPr>
        <w:t xml:space="preserve"> augment </w:t>
      </w:r>
      <w:r w:rsidR="0081290F">
        <w:rPr>
          <w:rFonts w:cs="Times New Roman"/>
          <w:lang w:val="en-US"/>
        </w:rPr>
        <w:t>the impact</w:t>
      </w:r>
      <w:r w:rsidR="0081290F" w:rsidRPr="009E26D1">
        <w:rPr>
          <w:rFonts w:cs="Times New Roman"/>
          <w:lang w:val="en-US"/>
        </w:rPr>
        <w:t xml:space="preserve"> </w:t>
      </w:r>
      <w:r w:rsidR="0081290F">
        <w:rPr>
          <w:rFonts w:cs="Times New Roman"/>
          <w:lang w:val="en-US"/>
        </w:rPr>
        <w:t xml:space="preserve">that FDI has </w:t>
      </w:r>
      <w:r w:rsidR="0081290F" w:rsidRPr="009E26D1">
        <w:rPr>
          <w:rFonts w:cs="Times New Roman"/>
          <w:lang w:val="en-US"/>
        </w:rPr>
        <w:t>on economic growth.</w:t>
      </w:r>
      <w:r w:rsidR="0081290F">
        <w:rPr>
          <w:rFonts w:cs="Times New Roman"/>
          <w:lang w:val="en-US"/>
        </w:rPr>
        <w:t xml:space="preserve"> </w:t>
      </w:r>
      <w:r w:rsidR="0081290F">
        <w:rPr>
          <w:color w:val="000000"/>
        </w:rPr>
        <w:fldChar w:fldCharType="begin"/>
      </w:r>
      <w:r w:rsidR="0081290F">
        <w:rPr>
          <w:color w:val="000000"/>
        </w:rPr>
        <w:instrText xml:space="preserve"> ADDIN EN.CITE &lt;EndNote&gt;&lt;Cite&gt;&lt;Author&gt;Kwok&lt;/Author&gt;&lt;Year&gt;2006&lt;/Year&gt;&lt;RecNum&gt;23&lt;/RecNum&gt;&lt;record&gt;&lt;rec-number&gt;23&lt;/rec-number&gt;&lt;ref-type name="Journal Article"&gt;17&lt;/ref-type&gt;&lt;contributors&gt;&lt;authors&gt;&lt;author&gt;Kwok, C.CY&lt;/author&gt;&lt;author&gt;Tadesse, S&lt;/author&gt;&lt;/authors&gt;&lt;/contributors&gt;&lt;titles&gt;&lt;title&gt;The MNC as an agent of change for host-country institutions: FDI and corruption&lt;/title&gt;&lt;secondary-title&gt;Journal of International Business Studies&lt;/secondary-title&gt;&lt;/titles&gt;&lt;periodical&gt;&lt;full-title&gt;Journal of International Business Studies&lt;/full-title&gt;&lt;/periodical&gt;&lt;pages&gt;767-785&lt;/pages&gt;&lt;volume&gt;37&lt;/volume&gt;&lt;dates&gt;&lt;year&gt;2006&lt;/year&gt;&lt;/dates&gt;&lt;urls&gt;&lt;/urls&gt;&lt;/record&gt;&lt;/Cite&gt;&lt;/EndNote&gt;</w:instrText>
      </w:r>
      <w:r w:rsidR="0081290F">
        <w:rPr>
          <w:color w:val="000000"/>
        </w:rPr>
        <w:fldChar w:fldCharType="separate"/>
      </w:r>
      <w:r w:rsidR="0081290F">
        <w:rPr>
          <w:color w:val="000000"/>
        </w:rPr>
        <w:t xml:space="preserve">Kwok and Tadesse </w:t>
      </w:r>
      <w:r w:rsidR="00CA5283">
        <w:rPr>
          <w:color w:val="000000"/>
        </w:rPr>
        <w:t>(</w:t>
      </w:r>
      <w:r w:rsidR="0081290F">
        <w:rPr>
          <w:color w:val="000000"/>
        </w:rPr>
        <w:t>2006)</w:t>
      </w:r>
      <w:r w:rsidR="0081290F">
        <w:rPr>
          <w:color w:val="000000"/>
        </w:rPr>
        <w:fldChar w:fldCharType="end"/>
      </w:r>
      <w:r w:rsidR="0081290F">
        <w:rPr>
          <w:color w:val="000000"/>
        </w:rPr>
        <w:t xml:space="preserve"> also noted FDI</w:t>
      </w:r>
      <w:r w:rsidR="00431D5F">
        <w:rPr>
          <w:color w:val="000000"/>
        </w:rPr>
        <w:t>’s</w:t>
      </w:r>
      <w:r w:rsidR="0081290F">
        <w:rPr>
          <w:color w:val="000000"/>
        </w:rPr>
        <w:t xml:space="preserve"> potential of influenc</w:t>
      </w:r>
      <w:r w:rsidR="00431D5F">
        <w:rPr>
          <w:color w:val="000000"/>
        </w:rPr>
        <w:t xml:space="preserve">e on </w:t>
      </w:r>
      <w:r w:rsidR="0081290F">
        <w:rPr>
          <w:color w:val="000000"/>
        </w:rPr>
        <w:t>corrupti</w:t>
      </w:r>
      <w:r w:rsidR="00431D5F">
        <w:rPr>
          <w:color w:val="000000"/>
        </w:rPr>
        <w:t xml:space="preserve">on in host countries </w:t>
      </w:r>
      <w:r w:rsidR="00CA5283">
        <w:rPr>
          <w:color w:val="000000"/>
        </w:rPr>
        <w:t>indicating</w:t>
      </w:r>
      <w:r w:rsidR="00431D5F">
        <w:rPr>
          <w:color w:val="000000"/>
        </w:rPr>
        <w:t xml:space="preserve"> that f</w:t>
      </w:r>
      <w:r w:rsidR="0081290F">
        <w:rPr>
          <w:color w:val="000000"/>
        </w:rPr>
        <w:t xml:space="preserve">oreign firms could either enhance transparency or contribute to increased corruption. </w:t>
      </w:r>
      <w:r w:rsidR="009C466D" w:rsidRPr="009C466D">
        <w:rPr>
          <w:rFonts w:cs="Times New Roman"/>
        </w:rPr>
        <w:t xml:space="preserve">Several surveys on </w:t>
      </w:r>
      <w:r w:rsidR="0081290F">
        <w:rPr>
          <w:rFonts w:cs="Times New Roman"/>
        </w:rPr>
        <w:t xml:space="preserve">Africa related to </w:t>
      </w:r>
      <w:r w:rsidR="009C466D" w:rsidRPr="009C466D">
        <w:rPr>
          <w:rFonts w:cs="Times New Roman"/>
        </w:rPr>
        <w:t>the perception of investors</w:t>
      </w:r>
      <w:r w:rsidR="0081290F">
        <w:rPr>
          <w:rFonts w:cs="Times New Roman"/>
        </w:rPr>
        <w:t xml:space="preserve"> </w:t>
      </w:r>
      <w:r w:rsidR="009C466D" w:rsidRPr="009C466D">
        <w:rPr>
          <w:rFonts w:cs="Times New Roman"/>
        </w:rPr>
        <w:t xml:space="preserve">conducted by </w:t>
      </w:r>
      <w:r w:rsidR="0081290F">
        <w:rPr>
          <w:rFonts w:cs="Times New Roman"/>
        </w:rPr>
        <w:t xml:space="preserve">organisations such as </w:t>
      </w:r>
      <w:r w:rsidR="009C466D" w:rsidRPr="009C466D">
        <w:rPr>
          <w:rFonts w:cs="Times New Roman"/>
        </w:rPr>
        <w:t>the World Bank, highlight corruption and political risk as major constraining factors to</w:t>
      </w:r>
      <w:r w:rsidR="003C0FF3">
        <w:rPr>
          <w:rFonts w:cs="Times New Roman"/>
        </w:rPr>
        <w:t xml:space="preserve"> SSA’s </w:t>
      </w:r>
      <w:r w:rsidR="009C466D" w:rsidRPr="009C466D">
        <w:rPr>
          <w:rFonts w:cs="Times New Roman"/>
        </w:rPr>
        <w:t xml:space="preserve">FDI inflow. </w:t>
      </w:r>
      <w:proofErr w:type="spellStart"/>
      <w:r w:rsidR="009C466D" w:rsidRPr="009C466D">
        <w:rPr>
          <w:rFonts w:cs="Times New Roman"/>
        </w:rPr>
        <w:t>Barta</w:t>
      </w:r>
      <w:proofErr w:type="spellEnd"/>
      <w:r w:rsidR="009C466D" w:rsidRPr="009C466D">
        <w:rPr>
          <w:rFonts w:cs="Times New Roman"/>
        </w:rPr>
        <w:t>, Kaufmann, and Stone (2003) offer a detailed explanation of the World Business Environment Survey (WBE)</w:t>
      </w:r>
      <w:proofErr w:type="gramStart"/>
      <w:r w:rsidR="001C0E75">
        <w:rPr>
          <w:rFonts w:cs="Times New Roman"/>
        </w:rPr>
        <w:t>,</w:t>
      </w:r>
      <w:proofErr w:type="gramEnd"/>
      <w:r w:rsidR="001C0E75">
        <w:rPr>
          <w:rFonts w:cs="Times New Roman"/>
        </w:rPr>
        <w:t xml:space="preserve"> they</w:t>
      </w:r>
      <w:r w:rsidR="009C466D" w:rsidRPr="009C466D">
        <w:rPr>
          <w:rFonts w:cs="Times New Roman"/>
        </w:rPr>
        <w:t xml:space="preserve"> </w:t>
      </w:r>
      <w:r w:rsidR="004111A6">
        <w:rPr>
          <w:rFonts w:cs="Times New Roman"/>
        </w:rPr>
        <w:t xml:space="preserve">suggest that </w:t>
      </w:r>
      <w:r w:rsidR="009C466D" w:rsidRPr="009C466D">
        <w:rPr>
          <w:rFonts w:cs="Times New Roman"/>
        </w:rPr>
        <w:t xml:space="preserve">corruption is the highest ranking constraint to FDI in SSA. UNCTAD (2000) also assert that corruption and political outlook </w:t>
      </w:r>
      <w:r w:rsidR="003C0FF3">
        <w:rPr>
          <w:rFonts w:cs="Times New Roman"/>
        </w:rPr>
        <w:t>s</w:t>
      </w:r>
      <w:r w:rsidR="009C466D" w:rsidRPr="009C466D">
        <w:rPr>
          <w:rFonts w:cs="Times New Roman"/>
        </w:rPr>
        <w:t>ignificant</w:t>
      </w:r>
      <w:r w:rsidR="003C0FF3">
        <w:rPr>
          <w:rFonts w:cs="Times New Roman"/>
        </w:rPr>
        <w:t>ly</w:t>
      </w:r>
      <w:r w:rsidR="009C466D" w:rsidRPr="009C466D">
        <w:rPr>
          <w:rFonts w:cs="Times New Roman"/>
        </w:rPr>
        <w:t xml:space="preserve"> restrain FDI inflows. </w:t>
      </w:r>
      <w:r w:rsidR="004111A6">
        <w:rPr>
          <w:rFonts w:cs="Times New Roman"/>
        </w:rPr>
        <w:t xml:space="preserve">Although </w:t>
      </w:r>
      <w:proofErr w:type="spellStart"/>
      <w:r w:rsidR="009C466D" w:rsidRPr="009C466D">
        <w:rPr>
          <w:rFonts w:cs="Times New Roman"/>
        </w:rPr>
        <w:t>Asiedu</w:t>
      </w:r>
      <w:proofErr w:type="spellEnd"/>
      <w:r w:rsidR="009C466D" w:rsidRPr="009C466D">
        <w:rPr>
          <w:rFonts w:cs="Times New Roman"/>
        </w:rPr>
        <w:t xml:space="preserve"> (2006) f</w:t>
      </w:r>
      <w:r w:rsidR="004111A6">
        <w:rPr>
          <w:rFonts w:cs="Times New Roman"/>
        </w:rPr>
        <w:t>ound</w:t>
      </w:r>
      <w:r w:rsidR="009C466D" w:rsidRPr="009C466D">
        <w:rPr>
          <w:rFonts w:cs="Times New Roman"/>
        </w:rPr>
        <w:t xml:space="preserve"> a negative relationship between FDI and corruption </w:t>
      </w:r>
      <w:r w:rsidR="004111A6">
        <w:rPr>
          <w:rFonts w:cs="Times New Roman"/>
        </w:rPr>
        <w:t xml:space="preserve">she </w:t>
      </w:r>
      <w:r w:rsidR="009C466D" w:rsidRPr="009C466D">
        <w:rPr>
          <w:rFonts w:cs="Times New Roman"/>
        </w:rPr>
        <w:t>point</w:t>
      </w:r>
      <w:r w:rsidR="004111A6">
        <w:rPr>
          <w:rFonts w:cs="Times New Roman"/>
        </w:rPr>
        <w:t>s</w:t>
      </w:r>
      <w:r w:rsidR="009C466D" w:rsidRPr="009C466D">
        <w:rPr>
          <w:rFonts w:cs="Times New Roman"/>
        </w:rPr>
        <w:t xml:space="preserve"> out that corruption </w:t>
      </w:r>
      <w:r w:rsidR="00431D5F">
        <w:rPr>
          <w:rFonts w:cs="Times New Roman"/>
        </w:rPr>
        <w:t xml:space="preserve">leads to weak enforcement of the law and </w:t>
      </w:r>
      <w:r w:rsidR="004111A6">
        <w:rPr>
          <w:rFonts w:cs="Times New Roman"/>
        </w:rPr>
        <w:t xml:space="preserve">was indeed </w:t>
      </w:r>
      <w:r w:rsidR="009C466D" w:rsidRPr="009C466D">
        <w:rPr>
          <w:rFonts w:cs="Times New Roman"/>
        </w:rPr>
        <w:t xml:space="preserve">a barrier to </w:t>
      </w:r>
      <w:r w:rsidR="004111A6">
        <w:rPr>
          <w:rFonts w:cs="Times New Roman"/>
        </w:rPr>
        <w:t>the conduct of effective</w:t>
      </w:r>
      <w:r w:rsidR="009C466D" w:rsidRPr="009C466D">
        <w:rPr>
          <w:rFonts w:cs="Times New Roman"/>
        </w:rPr>
        <w:t xml:space="preserve"> business. </w:t>
      </w:r>
      <w:r w:rsidR="00431D5F">
        <w:rPr>
          <w:rFonts w:cs="Times New Roman"/>
        </w:rPr>
        <w:t xml:space="preserve">Also, contrary to expectations, </w:t>
      </w:r>
      <w:r w:rsidR="009C466D">
        <w:rPr>
          <w:rFonts w:cs="Times New Roman"/>
          <w:lang w:val="en-US"/>
        </w:rPr>
        <w:t>Cleeve (2</w:t>
      </w:r>
      <w:r w:rsidR="003C0FF3">
        <w:rPr>
          <w:rFonts w:cs="Times New Roman"/>
          <w:lang w:val="en-US"/>
        </w:rPr>
        <w:t>012)</w:t>
      </w:r>
      <w:r w:rsidR="004111A6">
        <w:rPr>
          <w:rFonts w:cs="Times New Roman"/>
          <w:lang w:val="en-US"/>
        </w:rPr>
        <w:t xml:space="preserve"> found</w:t>
      </w:r>
      <w:r w:rsidR="009C466D">
        <w:rPr>
          <w:rFonts w:cs="Times New Roman"/>
          <w:lang w:val="en-US"/>
        </w:rPr>
        <w:t xml:space="preserve"> </w:t>
      </w:r>
      <w:r w:rsidR="00431D5F">
        <w:rPr>
          <w:rFonts w:cs="Times New Roman"/>
          <w:lang w:val="en-US"/>
        </w:rPr>
        <w:t xml:space="preserve">that </w:t>
      </w:r>
      <w:r w:rsidR="009C466D">
        <w:rPr>
          <w:rFonts w:cs="Times New Roman"/>
          <w:lang w:val="en-US"/>
        </w:rPr>
        <w:t>t</w:t>
      </w:r>
      <w:r w:rsidR="00431D5F">
        <w:rPr>
          <w:rFonts w:cs="Times New Roman"/>
          <w:lang w:val="en-US"/>
        </w:rPr>
        <w:t xml:space="preserve">he </w:t>
      </w:r>
      <w:r w:rsidR="002A1E34">
        <w:rPr>
          <w:rFonts w:cs="Times New Roman"/>
          <w:lang w:val="en-US"/>
        </w:rPr>
        <w:t xml:space="preserve">relationship between </w:t>
      </w:r>
      <w:r w:rsidR="009C466D" w:rsidRPr="009C466D">
        <w:rPr>
          <w:rFonts w:cs="Times New Roman"/>
          <w:lang w:val="en-US"/>
        </w:rPr>
        <w:t xml:space="preserve">FDI inflows </w:t>
      </w:r>
      <w:r w:rsidR="002A1E34">
        <w:rPr>
          <w:rFonts w:cs="Times New Roman"/>
          <w:lang w:val="en-US"/>
        </w:rPr>
        <w:t xml:space="preserve">and corruption </w:t>
      </w:r>
      <w:r w:rsidR="00431D5F">
        <w:rPr>
          <w:rFonts w:cs="Times New Roman"/>
          <w:lang w:val="en-US"/>
        </w:rPr>
        <w:t xml:space="preserve">was </w:t>
      </w:r>
      <w:r w:rsidR="009C466D" w:rsidRPr="009C466D">
        <w:rPr>
          <w:rFonts w:cs="Times New Roman"/>
          <w:lang w:val="en-US"/>
        </w:rPr>
        <w:t>not significant in explaining the</w:t>
      </w:r>
      <w:r w:rsidR="0081290F">
        <w:rPr>
          <w:rFonts w:cs="Times New Roman"/>
          <w:lang w:val="en-US"/>
        </w:rPr>
        <w:t xml:space="preserve"> SSA’s </w:t>
      </w:r>
      <w:r w:rsidR="009C466D" w:rsidRPr="009C466D">
        <w:rPr>
          <w:rFonts w:cs="Times New Roman"/>
          <w:lang w:val="en-US"/>
        </w:rPr>
        <w:t>FDI</w:t>
      </w:r>
      <w:r w:rsidR="0081290F">
        <w:rPr>
          <w:rFonts w:cs="Times New Roman"/>
          <w:lang w:val="en-US"/>
        </w:rPr>
        <w:t xml:space="preserve"> inflow</w:t>
      </w:r>
      <w:r w:rsidR="002A1E34">
        <w:rPr>
          <w:rFonts w:cs="Times New Roman"/>
          <w:lang w:val="en-US"/>
        </w:rPr>
        <w:t>.</w:t>
      </w:r>
      <w:r w:rsidR="009E26D1">
        <w:rPr>
          <w:rFonts w:cs="Times New Roman"/>
          <w:lang w:val="en-US"/>
        </w:rPr>
        <w:t xml:space="preserve"> </w:t>
      </w:r>
    </w:p>
    <w:p w:rsidR="00B172C5" w:rsidRPr="00B17ED1" w:rsidRDefault="00B172C5" w:rsidP="00B17ED1">
      <w:pPr>
        <w:ind w:firstLine="720"/>
        <w:rPr>
          <w:color w:val="000000"/>
        </w:rPr>
      </w:pPr>
      <w:r w:rsidRPr="00C92385">
        <w:rPr>
          <w:rFonts w:cs="Times New Roman"/>
        </w:rPr>
        <w:t>The findings from existing literature on the influence of political risk on FDI inflow are mixed. Some studies found that political risk discourages FDI (</w:t>
      </w:r>
      <w:r w:rsidR="00D84B15" w:rsidRPr="00C92385">
        <w:rPr>
          <w:rFonts w:cs="Times New Roman"/>
        </w:rPr>
        <w:t>Dunning, 1998</w:t>
      </w:r>
      <w:r w:rsidR="00D84B15">
        <w:rPr>
          <w:rFonts w:cs="Times New Roman"/>
        </w:rPr>
        <w:t xml:space="preserve">; </w:t>
      </w:r>
      <w:proofErr w:type="spellStart"/>
      <w:r w:rsidRPr="00C92385">
        <w:rPr>
          <w:rFonts w:cs="Times New Roman"/>
        </w:rPr>
        <w:t>Asiedu</w:t>
      </w:r>
      <w:proofErr w:type="spellEnd"/>
      <w:r w:rsidRPr="00C92385">
        <w:rPr>
          <w:rFonts w:cs="Times New Roman"/>
        </w:rPr>
        <w:t xml:space="preserve">, 2006; </w:t>
      </w:r>
      <w:proofErr w:type="spellStart"/>
      <w:r w:rsidRPr="00C92385">
        <w:rPr>
          <w:rFonts w:cs="Times New Roman"/>
        </w:rPr>
        <w:t>Baek</w:t>
      </w:r>
      <w:proofErr w:type="spellEnd"/>
      <w:r w:rsidRPr="00C92385">
        <w:rPr>
          <w:rFonts w:cs="Times New Roman"/>
        </w:rPr>
        <w:t xml:space="preserve"> &amp; Qian, 2011; Hayakawa, Kimura &amp; Lee, 2011). </w:t>
      </w:r>
      <w:proofErr w:type="gramStart"/>
      <w:r w:rsidR="001C0E75">
        <w:rPr>
          <w:rFonts w:cs="Times New Roman"/>
        </w:rPr>
        <w:t>Whilst others</w:t>
      </w:r>
      <w:r w:rsidRPr="00C92385">
        <w:rPr>
          <w:rFonts w:cs="Times New Roman"/>
        </w:rPr>
        <w:t xml:space="preserve"> indicate that high political risk environments attract FDI (</w:t>
      </w:r>
      <w:proofErr w:type="spellStart"/>
      <w:r w:rsidR="00D84B15" w:rsidRPr="00C92385">
        <w:rPr>
          <w:rFonts w:cs="Times New Roman"/>
        </w:rPr>
        <w:t>Janeba</w:t>
      </w:r>
      <w:proofErr w:type="spellEnd"/>
      <w:r w:rsidR="00D84B15" w:rsidRPr="00C92385">
        <w:rPr>
          <w:rFonts w:cs="Times New Roman"/>
        </w:rPr>
        <w:t xml:space="preserve"> 2002; </w:t>
      </w:r>
      <w:r w:rsidRPr="00C92385">
        <w:rPr>
          <w:rFonts w:cs="Times New Roman"/>
        </w:rPr>
        <w:t>Dar-</w:t>
      </w:r>
      <w:proofErr w:type="spellStart"/>
      <w:r w:rsidRPr="00C92385">
        <w:rPr>
          <w:rFonts w:cs="Times New Roman"/>
        </w:rPr>
        <w:t>Hsin</w:t>
      </w:r>
      <w:proofErr w:type="spellEnd"/>
      <w:r w:rsidRPr="00C92385">
        <w:rPr>
          <w:rFonts w:cs="Times New Roman"/>
        </w:rPr>
        <w:t xml:space="preserve">, Feng-Shun, &amp; Chun-Da, 2005; </w:t>
      </w:r>
      <w:proofErr w:type="spellStart"/>
      <w:r w:rsidRPr="00C92385">
        <w:rPr>
          <w:rFonts w:cs="Times New Roman"/>
        </w:rPr>
        <w:t>Okafor</w:t>
      </w:r>
      <w:proofErr w:type="spellEnd"/>
      <w:r w:rsidRPr="00C92385">
        <w:rPr>
          <w:rFonts w:cs="Times New Roman"/>
        </w:rPr>
        <w:t xml:space="preserve"> et al., 2011).</w:t>
      </w:r>
      <w:proofErr w:type="gramEnd"/>
      <w:r w:rsidRPr="00C92385">
        <w:rPr>
          <w:rFonts w:cs="Times New Roman"/>
        </w:rPr>
        <w:t xml:space="preserve"> A third group </w:t>
      </w:r>
      <w:r w:rsidR="004111A6">
        <w:rPr>
          <w:rFonts w:cs="Times New Roman"/>
        </w:rPr>
        <w:t>f</w:t>
      </w:r>
      <w:r w:rsidR="001C0E75">
        <w:rPr>
          <w:rFonts w:cs="Times New Roman"/>
        </w:rPr>
        <w:t>ound</w:t>
      </w:r>
      <w:r w:rsidR="004111A6">
        <w:rPr>
          <w:rFonts w:cs="Times New Roman"/>
        </w:rPr>
        <w:t xml:space="preserve"> an insignificant </w:t>
      </w:r>
      <w:r w:rsidRPr="00C92385">
        <w:rPr>
          <w:rFonts w:cs="Times New Roman"/>
        </w:rPr>
        <w:t>relationship between political risk and FDI flow (</w:t>
      </w:r>
      <w:proofErr w:type="spellStart"/>
      <w:r w:rsidRPr="00C92385">
        <w:rPr>
          <w:rFonts w:cs="Times New Roman"/>
        </w:rPr>
        <w:t>Jadhav</w:t>
      </w:r>
      <w:proofErr w:type="spellEnd"/>
      <w:r w:rsidRPr="00C92385">
        <w:rPr>
          <w:rFonts w:cs="Times New Roman"/>
        </w:rPr>
        <w:t xml:space="preserve"> 2012; Wei, 2000). </w:t>
      </w:r>
      <w:r w:rsidR="001C0E75">
        <w:rPr>
          <w:rFonts w:cs="Times New Roman"/>
        </w:rPr>
        <w:t>Additionally,</w:t>
      </w:r>
      <w:r w:rsidR="00463F7F">
        <w:rPr>
          <w:rFonts w:cs="Times New Roman"/>
        </w:rPr>
        <w:t xml:space="preserve"> others also</w:t>
      </w:r>
      <w:r w:rsidRPr="00C92385">
        <w:rPr>
          <w:rFonts w:cs="Times New Roman"/>
        </w:rPr>
        <w:t xml:space="preserve"> argue that </w:t>
      </w:r>
      <w:r w:rsidR="00463F7F">
        <w:rPr>
          <w:rFonts w:cs="Times New Roman"/>
        </w:rPr>
        <w:t xml:space="preserve">MNE home country </w:t>
      </w:r>
      <w:r w:rsidRPr="00C92385">
        <w:rPr>
          <w:rFonts w:cs="Times New Roman"/>
        </w:rPr>
        <w:t>political risk inf</w:t>
      </w:r>
      <w:r w:rsidR="00463F7F">
        <w:rPr>
          <w:rFonts w:cs="Times New Roman"/>
        </w:rPr>
        <w:t>luence</w:t>
      </w:r>
      <w:r w:rsidRPr="00C92385">
        <w:rPr>
          <w:rFonts w:cs="Times New Roman"/>
        </w:rPr>
        <w:t xml:space="preserve"> FDI location decisions (</w:t>
      </w:r>
      <w:proofErr w:type="spellStart"/>
      <w:r w:rsidRPr="00C92385">
        <w:rPr>
          <w:rFonts w:cs="Times New Roman"/>
        </w:rPr>
        <w:t>Sauvant</w:t>
      </w:r>
      <w:proofErr w:type="spellEnd"/>
      <w:r w:rsidRPr="00C92385">
        <w:rPr>
          <w:rFonts w:cs="Times New Roman"/>
        </w:rPr>
        <w:t xml:space="preserve">, </w:t>
      </w:r>
      <w:proofErr w:type="spellStart"/>
      <w:r w:rsidRPr="00C92385">
        <w:rPr>
          <w:rFonts w:cs="Times New Roman"/>
        </w:rPr>
        <w:t>Maschek</w:t>
      </w:r>
      <w:proofErr w:type="spellEnd"/>
      <w:r w:rsidRPr="00C92385">
        <w:rPr>
          <w:rFonts w:cs="Times New Roman"/>
        </w:rPr>
        <w:t xml:space="preserve"> &amp; McAllister, 2</w:t>
      </w:r>
      <w:r>
        <w:rPr>
          <w:rFonts w:cs="Times New Roman"/>
        </w:rPr>
        <w:t xml:space="preserve">009 and </w:t>
      </w:r>
      <w:proofErr w:type="spellStart"/>
      <w:r>
        <w:rPr>
          <w:rFonts w:cs="Times New Roman"/>
        </w:rPr>
        <w:t>Aguiar</w:t>
      </w:r>
      <w:proofErr w:type="spellEnd"/>
      <w:r>
        <w:rPr>
          <w:rFonts w:cs="Times New Roman"/>
        </w:rPr>
        <w:t xml:space="preserve"> et al., 2012</w:t>
      </w:r>
      <w:r w:rsidRPr="0024538C">
        <w:rPr>
          <w:rFonts w:cs="Times New Roman"/>
        </w:rPr>
        <w:t xml:space="preserve">). </w:t>
      </w:r>
    </w:p>
    <w:p w:rsidR="00431D5F" w:rsidRDefault="00334F50" w:rsidP="00C97786">
      <w:pPr>
        <w:rPr>
          <w:rFonts w:cs="Times New Roman"/>
          <w:bCs/>
          <w:i/>
        </w:rPr>
      </w:pPr>
      <w:r w:rsidRPr="00C92385">
        <w:rPr>
          <w:rFonts w:cs="Times New Roman"/>
        </w:rPr>
        <w:t xml:space="preserve">   </w:t>
      </w:r>
    </w:p>
    <w:p w:rsidR="00B17ED1" w:rsidRDefault="00B17ED1" w:rsidP="00C97786">
      <w:pPr>
        <w:rPr>
          <w:rFonts w:cs="Times New Roman"/>
          <w:bCs/>
          <w:i/>
        </w:rPr>
      </w:pPr>
    </w:p>
    <w:p w:rsidR="00334F50" w:rsidRPr="00C92385" w:rsidRDefault="00334F50" w:rsidP="00C97786">
      <w:pPr>
        <w:rPr>
          <w:rFonts w:cs="Times New Roman"/>
          <w:bCs/>
          <w:i/>
        </w:rPr>
      </w:pPr>
      <w:r w:rsidRPr="00C92385">
        <w:rPr>
          <w:rFonts w:cs="Times New Roman"/>
          <w:bCs/>
          <w:i/>
        </w:rPr>
        <w:lastRenderedPageBreak/>
        <w:t xml:space="preserve">Negative Effect </w:t>
      </w:r>
      <w:r w:rsidR="005F246C" w:rsidRPr="00C92385">
        <w:rPr>
          <w:rFonts w:cs="Times New Roman"/>
          <w:bCs/>
          <w:i/>
        </w:rPr>
        <w:t>of Political Risk on</w:t>
      </w:r>
      <w:r w:rsidRPr="00C92385">
        <w:rPr>
          <w:rFonts w:cs="Times New Roman"/>
          <w:bCs/>
          <w:i/>
        </w:rPr>
        <w:t xml:space="preserve"> FDI</w:t>
      </w:r>
      <w:r w:rsidR="004A005C" w:rsidRPr="00C92385">
        <w:rPr>
          <w:rFonts w:cs="Times New Roman"/>
          <w:bCs/>
          <w:i/>
        </w:rPr>
        <w:t xml:space="preserve"> Inflow</w:t>
      </w:r>
    </w:p>
    <w:p w:rsidR="00334F50" w:rsidRPr="00C92385" w:rsidRDefault="00334F50" w:rsidP="000125A9">
      <w:pPr>
        <w:rPr>
          <w:rFonts w:cs="Times New Roman"/>
        </w:rPr>
      </w:pPr>
      <w:r w:rsidRPr="00C92385">
        <w:rPr>
          <w:rFonts w:cs="Times New Roman"/>
        </w:rPr>
        <w:t xml:space="preserve">Most studies on the causal relationship between political risk and FDI arrived at the conclusion that high political risk discourages FDI in developing countries. Some of these studies are </w:t>
      </w:r>
      <w:proofErr w:type="spellStart"/>
      <w:r w:rsidRPr="00C92385">
        <w:rPr>
          <w:rFonts w:cs="Times New Roman"/>
        </w:rPr>
        <w:t>Asiedu</w:t>
      </w:r>
      <w:proofErr w:type="spellEnd"/>
      <w:r w:rsidRPr="00C92385">
        <w:rPr>
          <w:rFonts w:cs="Times New Roman"/>
        </w:rPr>
        <w:t xml:space="preserve"> (2006), </w:t>
      </w:r>
      <w:proofErr w:type="spellStart"/>
      <w:r w:rsidRPr="00C92385">
        <w:rPr>
          <w:rFonts w:cs="Times New Roman"/>
        </w:rPr>
        <w:t>Bussman</w:t>
      </w:r>
      <w:proofErr w:type="spellEnd"/>
      <w:r w:rsidRPr="00C92385">
        <w:rPr>
          <w:rFonts w:cs="Times New Roman"/>
        </w:rPr>
        <w:t xml:space="preserve"> (2010)</w:t>
      </w:r>
      <w:r w:rsidR="0072461D" w:rsidRPr="00C92385">
        <w:rPr>
          <w:rFonts w:cs="Times New Roman"/>
        </w:rPr>
        <w:t>, and</w:t>
      </w:r>
      <w:r w:rsidRPr="00C92385">
        <w:rPr>
          <w:rFonts w:cs="Times New Roman"/>
        </w:rPr>
        <w:t xml:space="preserve"> </w:t>
      </w:r>
      <w:proofErr w:type="spellStart"/>
      <w:r w:rsidRPr="00C92385">
        <w:rPr>
          <w:rFonts w:cs="Times New Roman"/>
        </w:rPr>
        <w:t>Amal</w:t>
      </w:r>
      <w:proofErr w:type="spellEnd"/>
      <w:r w:rsidR="00FB747A" w:rsidRPr="00C92385">
        <w:rPr>
          <w:rFonts w:cs="Times New Roman"/>
        </w:rPr>
        <w:t xml:space="preserve">, </w:t>
      </w:r>
      <w:proofErr w:type="spellStart"/>
      <w:r w:rsidR="00FB747A" w:rsidRPr="00C92385">
        <w:rPr>
          <w:rFonts w:cs="Times New Roman"/>
        </w:rPr>
        <w:t>Tomio</w:t>
      </w:r>
      <w:proofErr w:type="spellEnd"/>
      <w:r w:rsidR="00FB747A" w:rsidRPr="00C92385">
        <w:rPr>
          <w:rFonts w:cs="Times New Roman"/>
        </w:rPr>
        <w:t xml:space="preserve"> and </w:t>
      </w:r>
      <w:proofErr w:type="spellStart"/>
      <w:r w:rsidR="00FB747A" w:rsidRPr="00C92385">
        <w:rPr>
          <w:rFonts w:cs="Times New Roman"/>
        </w:rPr>
        <w:t>Raboch</w:t>
      </w:r>
      <w:proofErr w:type="spellEnd"/>
      <w:r w:rsidRPr="00C92385">
        <w:rPr>
          <w:rFonts w:cs="Times New Roman"/>
        </w:rPr>
        <w:t xml:space="preserve"> (2010).  </w:t>
      </w:r>
      <w:proofErr w:type="spellStart"/>
      <w:r w:rsidR="00F92D15">
        <w:rPr>
          <w:rFonts w:cs="Times New Roman"/>
        </w:rPr>
        <w:t>Amal</w:t>
      </w:r>
      <w:proofErr w:type="spellEnd"/>
      <w:r w:rsidR="00F92D15">
        <w:rPr>
          <w:rFonts w:cs="Times New Roman"/>
        </w:rPr>
        <w:t xml:space="preserve"> et al. (2010), for example, found that in Latin America</w:t>
      </w:r>
      <w:r w:rsidR="0028025F">
        <w:rPr>
          <w:rFonts w:cs="Times New Roman"/>
        </w:rPr>
        <w:t>,</w:t>
      </w:r>
      <w:r w:rsidR="00F92D15" w:rsidRPr="00C92385">
        <w:rPr>
          <w:rFonts w:cs="Times New Roman"/>
        </w:rPr>
        <w:t xml:space="preserve"> a country’s political risk significantly affects its attra</w:t>
      </w:r>
      <w:r w:rsidR="00431D5F">
        <w:rPr>
          <w:rFonts w:cs="Times New Roman"/>
        </w:rPr>
        <w:t xml:space="preserve">ctiveness to foreign investors. </w:t>
      </w:r>
      <w:r w:rsidR="00F92D15" w:rsidRPr="00C92385">
        <w:rPr>
          <w:rFonts w:cs="Times New Roman"/>
        </w:rPr>
        <w:t xml:space="preserve">They argued that the </w:t>
      </w:r>
      <w:r w:rsidR="007128D4">
        <w:rPr>
          <w:rFonts w:cs="Times New Roman"/>
        </w:rPr>
        <w:t>reduced p</w:t>
      </w:r>
      <w:r w:rsidR="00F92D15" w:rsidRPr="00C92385">
        <w:rPr>
          <w:rFonts w:cs="Times New Roman"/>
        </w:rPr>
        <w:t xml:space="preserve">olitical </w:t>
      </w:r>
      <w:r w:rsidR="007128D4">
        <w:rPr>
          <w:rFonts w:cs="Times New Roman"/>
        </w:rPr>
        <w:t xml:space="preserve">risk </w:t>
      </w:r>
      <w:r w:rsidR="00F92D15" w:rsidRPr="00C92385">
        <w:rPr>
          <w:rFonts w:cs="Times New Roman"/>
        </w:rPr>
        <w:t>in Latin America in the last two decades is responsible for the higher levels of FDI inflows</w:t>
      </w:r>
      <w:r w:rsidR="0028025F">
        <w:rPr>
          <w:rFonts w:cs="Times New Roman"/>
        </w:rPr>
        <w:t xml:space="preserve">. </w:t>
      </w:r>
      <w:proofErr w:type="spellStart"/>
      <w:r w:rsidRPr="00C92385">
        <w:rPr>
          <w:rFonts w:cs="Times New Roman"/>
        </w:rPr>
        <w:t>Baek</w:t>
      </w:r>
      <w:proofErr w:type="spellEnd"/>
      <w:r w:rsidRPr="00C92385">
        <w:rPr>
          <w:rFonts w:cs="Times New Roman"/>
        </w:rPr>
        <w:t xml:space="preserve"> and Qian (2011) </w:t>
      </w:r>
      <w:r w:rsidR="00463F7F">
        <w:rPr>
          <w:rFonts w:cs="Times New Roman"/>
        </w:rPr>
        <w:t xml:space="preserve">studied 94 </w:t>
      </w:r>
      <w:r w:rsidRPr="00C92385">
        <w:rPr>
          <w:rFonts w:cs="Times New Roman"/>
        </w:rPr>
        <w:t xml:space="preserve">developing and </w:t>
      </w:r>
      <w:r w:rsidR="00463F7F">
        <w:rPr>
          <w:rFonts w:cs="Times New Roman"/>
        </w:rPr>
        <w:t xml:space="preserve">22 </w:t>
      </w:r>
      <w:r w:rsidRPr="00C92385">
        <w:rPr>
          <w:rFonts w:cs="Times New Roman"/>
        </w:rPr>
        <w:t xml:space="preserve">developed economies </w:t>
      </w:r>
      <w:r w:rsidR="0028025F">
        <w:rPr>
          <w:rFonts w:cs="Times New Roman"/>
        </w:rPr>
        <w:t xml:space="preserve">and </w:t>
      </w:r>
      <w:r w:rsidRPr="00C92385">
        <w:rPr>
          <w:rFonts w:cs="Times New Roman"/>
        </w:rPr>
        <w:t>discovered that host economies with high political risk</w:t>
      </w:r>
      <w:r w:rsidR="00463F7F">
        <w:rPr>
          <w:rFonts w:cs="Times New Roman"/>
        </w:rPr>
        <w:t>s</w:t>
      </w:r>
      <w:r w:rsidRPr="00C92385">
        <w:rPr>
          <w:rFonts w:cs="Times New Roman"/>
        </w:rPr>
        <w:t xml:space="preserve"> discourage </w:t>
      </w:r>
      <w:r w:rsidR="00463F7F">
        <w:rPr>
          <w:rFonts w:cs="Times New Roman"/>
        </w:rPr>
        <w:t xml:space="preserve">FDI </w:t>
      </w:r>
      <w:r w:rsidRPr="00C92385">
        <w:rPr>
          <w:rFonts w:cs="Times New Roman"/>
        </w:rPr>
        <w:t>inflow</w:t>
      </w:r>
      <w:r w:rsidR="00FB747A" w:rsidRPr="00C92385">
        <w:rPr>
          <w:rFonts w:cs="Times New Roman"/>
        </w:rPr>
        <w:t>. This is</w:t>
      </w:r>
      <w:r w:rsidRPr="00C92385">
        <w:rPr>
          <w:rFonts w:cs="Times New Roman"/>
        </w:rPr>
        <w:t xml:space="preserve"> because high political volatility results </w:t>
      </w:r>
      <w:r w:rsidR="001C0E75">
        <w:rPr>
          <w:rFonts w:cs="Times New Roman"/>
        </w:rPr>
        <w:t xml:space="preserve">increased risk and therefore </w:t>
      </w:r>
      <w:r w:rsidRPr="00C92385">
        <w:rPr>
          <w:rFonts w:cs="Times New Roman"/>
        </w:rPr>
        <w:t>lower profit</w:t>
      </w:r>
      <w:r w:rsidR="0028025F">
        <w:rPr>
          <w:rFonts w:cs="Times New Roman"/>
        </w:rPr>
        <w:t>s</w:t>
      </w:r>
      <w:r w:rsidRPr="00C92385">
        <w:rPr>
          <w:rFonts w:cs="Times New Roman"/>
        </w:rPr>
        <w:t xml:space="preserve"> f</w:t>
      </w:r>
      <w:r w:rsidR="00D64FB5" w:rsidRPr="00C92385">
        <w:rPr>
          <w:rFonts w:cs="Times New Roman"/>
        </w:rPr>
        <w:t>or</w:t>
      </w:r>
      <w:r w:rsidRPr="00C92385">
        <w:rPr>
          <w:rFonts w:cs="Times New Roman"/>
        </w:rPr>
        <w:t xml:space="preserve"> foreign invest</w:t>
      </w:r>
      <w:r w:rsidR="00FB747A" w:rsidRPr="00C92385">
        <w:rPr>
          <w:rFonts w:cs="Times New Roman"/>
        </w:rPr>
        <w:t>ors</w:t>
      </w:r>
      <w:r w:rsidRPr="00C92385">
        <w:rPr>
          <w:rFonts w:cs="Times New Roman"/>
        </w:rPr>
        <w:t>. Using the ICRG 12</w:t>
      </w:r>
      <w:r w:rsidR="00AE3D12" w:rsidRPr="00C92385">
        <w:rPr>
          <w:rFonts w:cs="Times New Roman"/>
        </w:rPr>
        <w:t>-</w:t>
      </w:r>
      <w:r w:rsidRPr="00C92385">
        <w:rPr>
          <w:rFonts w:cs="Times New Roman"/>
        </w:rPr>
        <w:t xml:space="preserve">component political risk index, they </w:t>
      </w:r>
      <w:r w:rsidR="001C0E75">
        <w:rPr>
          <w:rFonts w:cs="Times New Roman"/>
        </w:rPr>
        <w:t xml:space="preserve">conclude </w:t>
      </w:r>
      <w:r w:rsidRPr="00C92385">
        <w:rPr>
          <w:rFonts w:cs="Times New Roman"/>
        </w:rPr>
        <w:t xml:space="preserve">that different political risk components affect </w:t>
      </w:r>
      <w:r w:rsidR="00EC243F">
        <w:rPr>
          <w:rFonts w:cs="Times New Roman"/>
        </w:rPr>
        <w:t>FDI</w:t>
      </w:r>
      <w:r w:rsidRPr="00C92385">
        <w:rPr>
          <w:rFonts w:cs="Times New Roman"/>
        </w:rPr>
        <w:t xml:space="preserve"> </w:t>
      </w:r>
      <w:r w:rsidR="00EC243F">
        <w:rPr>
          <w:rFonts w:cs="Times New Roman"/>
        </w:rPr>
        <w:t>in</w:t>
      </w:r>
      <w:r w:rsidRPr="00C92385">
        <w:rPr>
          <w:rFonts w:cs="Times New Roman"/>
        </w:rPr>
        <w:t>flow</w:t>
      </w:r>
      <w:r w:rsidR="00EC243F">
        <w:rPr>
          <w:rFonts w:cs="Times New Roman"/>
        </w:rPr>
        <w:t xml:space="preserve"> to</w:t>
      </w:r>
      <w:r w:rsidRPr="00C92385">
        <w:rPr>
          <w:rFonts w:cs="Times New Roman"/>
        </w:rPr>
        <w:t xml:space="preserve"> developing economies in different ways and that a stable political and policy environment encourages FDI inflows. </w:t>
      </w:r>
      <w:r w:rsidR="00F92D15" w:rsidRPr="00C92385">
        <w:rPr>
          <w:rFonts w:cs="Times New Roman"/>
        </w:rPr>
        <w:t>The</w:t>
      </w:r>
      <w:r w:rsidR="00F92D15">
        <w:rPr>
          <w:rFonts w:cs="Times New Roman"/>
        </w:rPr>
        <w:t xml:space="preserve">refore, </w:t>
      </w:r>
      <w:r w:rsidRPr="00C92385">
        <w:rPr>
          <w:rFonts w:cs="Times New Roman"/>
        </w:rPr>
        <w:t>governments can attract FDI</w:t>
      </w:r>
      <w:r w:rsidR="00F92D15">
        <w:rPr>
          <w:rFonts w:cs="Times New Roman"/>
        </w:rPr>
        <w:t xml:space="preserve"> by</w:t>
      </w:r>
      <w:r w:rsidRPr="00C92385">
        <w:rPr>
          <w:rFonts w:cs="Times New Roman"/>
        </w:rPr>
        <w:t xml:space="preserve"> promot</w:t>
      </w:r>
      <w:r w:rsidR="00F92D15">
        <w:rPr>
          <w:rFonts w:cs="Times New Roman"/>
        </w:rPr>
        <w:t>ing</w:t>
      </w:r>
      <w:r w:rsidRPr="00C92385">
        <w:rPr>
          <w:rFonts w:cs="Times New Roman"/>
        </w:rPr>
        <w:t xml:space="preserve"> and maintain</w:t>
      </w:r>
      <w:r w:rsidR="00F92D15">
        <w:rPr>
          <w:rFonts w:cs="Times New Roman"/>
        </w:rPr>
        <w:t>ing</w:t>
      </w:r>
      <w:r w:rsidRPr="00C92385">
        <w:rPr>
          <w:rFonts w:cs="Times New Roman"/>
        </w:rPr>
        <w:t xml:space="preserve"> a stable polity. </w:t>
      </w:r>
      <w:r w:rsidR="001C0E75">
        <w:rPr>
          <w:rFonts w:cs="Times New Roman"/>
        </w:rPr>
        <w:t xml:space="preserve">Furthermore, and unsurprisingly, </w:t>
      </w:r>
      <w:proofErr w:type="spellStart"/>
      <w:r w:rsidRPr="00C92385">
        <w:rPr>
          <w:rFonts w:cs="Times New Roman"/>
        </w:rPr>
        <w:t>Asiedu</w:t>
      </w:r>
      <w:r w:rsidR="00FB747A" w:rsidRPr="00C92385">
        <w:rPr>
          <w:rFonts w:cs="Times New Roman"/>
        </w:rPr>
        <w:t>’s</w:t>
      </w:r>
      <w:proofErr w:type="spellEnd"/>
      <w:r w:rsidRPr="00C92385">
        <w:rPr>
          <w:rFonts w:cs="Times New Roman"/>
        </w:rPr>
        <w:t xml:space="preserve"> (2006) study on the determinants of FDI </w:t>
      </w:r>
      <w:r w:rsidR="00FB747A" w:rsidRPr="00C92385">
        <w:rPr>
          <w:rFonts w:cs="Times New Roman"/>
        </w:rPr>
        <w:t xml:space="preserve">inflow </w:t>
      </w:r>
      <w:r w:rsidRPr="00C92385">
        <w:rPr>
          <w:rFonts w:cs="Times New Roman"/>
        </w:rPr>
        <w:t xml:space="preserve">to Africa </w:t>
      </w:r>
      <w:r w:rsidR="004518D8" w:rsidRPr="00C92385">
        <w:rPr>
          <w:rFonts w:cs="Times New Roman"/>
        </w:rPr>
        <w:t xml:space="preserve">also </w:t>
      </w:r>
      <w:r w:rsidRPr="00C92385">
        <w:rPr>
          <w:rFonts w:cs="Times New Roman"/>
        </w:rPr>
        <w:t xml:space="preserve">arrived at the conclusion </w:t>
      </w:r>
      <w:r w:rsidR="004518D8" w:rsidRPr="00C92385">
        <w:rPr>
          <w:rFonts w:cs="Times New Roman"/>
        </w:rPr>
        <w:t>that</w:t>
      </w:r>
      <w:r w:rsidRPr="00C92385">
        <w:rPr>
          <w:rFonts w:cs="Times New Roman"/>
        </w:rPr>
        <w:t xml:space="preserve"> </w:t>
      </w:r>
      <w:r w:rsidR="004518D8" w:rsidRPr="00C92385">
        <w:rPr>
          <w:rFonts w:cs="Times New Roman"/>
        </w:rPr>
        <w:t>an</w:t>
      </w:r>
      <w:r w:rsidRPr="00C92385">
        <w:rPr>
          <w:rFonts w:cs="Times New Roman"/>
        </w:rPr>
        <w:t xml:space="preserve"> environment of high political risk is a deterrent to </w:t>
      </w:r>
      <w:r w:rsidR="00EC243F">
        <w:rPr>
          <w:rFonts w:cs="Times New Roman"/>
        </w:rPr>
        <w:t>inflows</w:t>
      </w:r>
      <w:r w:rsidRPr="00C92385">
        <w:rPr>
          <w:rFonts w:cs="Times New Roman"/>
        </w:rPr>
        <w:t>.  Utilising panel data</w:t>
      </w:r>
      <w:r w:rsidR="00431D5F">
        <w:rPr>
          <w:rFonts w:cs="Times New Roman"/>
        </w:rPr>
        <w:t>,</w:t>
      </w:r>
      <w:r w:rsidRPr="00C92385">
        <w:rPr>
          <w:rFonts w:cs="Times New Roman"/>
        </w:rPr>
        <w:t xml:space="preserve"> </w:t>
      </w:r>
      <w:r w:rsidR="00EC243F">
        <w:rPr>
          <w:rFonts w:cs="Times New Roman"/>
        </w:rPr>
        <w:t>from 1984 to 2002</w:t>
      </w:r>
      <w:r w:rsidR="00431D5F">
        <w:rPr>
          <w:rFonts w:cs="Times New Roman"/>
        </w:rPr>
        <w:t>,</w:t>
      </w:r>
      <w:r w:rsidR="00EC243F">
        <w:rPr>
          <w:rFonts w:cs="Times New Roman"/>
        </w:rPr>
        <w:t xml:space="preserve"> </w:t>
      </w:r>
      <w:r w:rsidRPr="00C92385">
        <w:rPr>
          <w:rFonts w:cs="Times New Roman"/>
        </w:rPr>
        <w:t>for 22 countries in</w:t>
      </w:r>
      <w:r w:rsidR="00EC243F">
        <w:rPr>
          <w:rFonts w:cs="Times New Roman"/>
        </w:rPr>
        <w:t xml:space="preserve"> SSA</w:t>
      </w:r>
      <w:r w:rsidRPr="00C92385">
        <w:rPr>
          <w:rFonts w:cs="Times New Roman"/>
        </w:rPr>
        <w:t xml:space="preserve">, </w:t>
      </w:r>
      <w:r w:rsidR="00727B9F" w:rsidRPr="00C92385">
        <w:rPr>
          <w:rFonts w:cs="Times New Roman"/>
        </w:rPr>
        <w:t>her</w:t>
      </w:r>
      <w:r w:rsidRPr="00C92385">
        <w:rPr>
          <w:rFonts w:cs="Times New Roman"/>
        </w:rPr>
        <w:t xml:space="preserve"> study concluded that reduced corruption and political instability will enhance the flow of FDI into </w:t>
      </w:r>
      <w:r w:rsidR="00FB747A" w:rsidRPr="00C92385">
        <w:rPr>
          <w:rFonts w:cs="Times New Roman"/>
        </w:rPr>
        <w:t>SSA</w:t>
      </w:r>
      <w:r w:rsidRPr="00C92385">
        <w:rPr>
          <w:rFonts w:cs="Times New Roman"/>
        </w:rPr>
        <w:t xml:space="preserve">. </w:t>
      </w:r>
      <w:proofErr w:type="spellStart"/>
      <w:r w:rsidRPr="00C92385">
        <w:rPr>
          <w:rFonts w:cs="Times New Roman"/>
        </w:rPr>
        <w:t>Asiedu</w:t>
      </w:r>
      <w:proofErr w:type="spellEnd"/>
      <w:r w:rsidRPr="00C92385">
        <w:rPr>
          <w:rFonts w:cs="Times New Roman"/>
        </w:rPr>
        <w:t xml:space="preserve"> (2006) observed that FDI to </w:t>
      </w:r>
      <w:r w:rsidR="00FB747A" w:rsidRPr="00C92385">
        <w:rPr>
          <w:rFonts w:cs="Times New Roman"/>
        </w:rPr>
        <w:t>the region</w:t>
      </w:r>
      <w:r w:rsidRPr="00C92385">
        <w:rPr>
          <w:rFonts w:cs="Times New Roman"/>
        </w:rPr>
        <w:t xml:space="preserve"> is driven by natural resources and </w:t>
      </w:r>
      <w:r w:rsidR="00FB747A" w:rsidRPr="00C92385">
        <w:rPr>
          <w:rFonts w:cs="Times New Roman"/>
        </w:rPr>
        <w:t>suggested</w:t>
      </w:r>
      <w:r w:rsidR="00D81D53" w:rsidRPr="00C92385">
        <w:rPr>
          <w:rFonts w:cs="Times New Roman"/>
        </w:rPr>
        <w:t xml:space="preserve"> that </w:t>
      </w:r>
      <w:r w:rsidRPr="00C92385">
        <w:rPr>
          <w:rFonts w:cs="Times New Roman"/>
        </w:rPr>
        <w:t xml:space="preserve">smaller SSA countries </w:t>
      </w:r>
      <w:r w:rsidR="00D81D53" w:rsidRPr="00C92385">
        <w:rPr>
          <w:rFonts w:cs="Times New Roman"/>
        </w:rPr>
        <w:t>with</w:t>
      </w:r>
      <w:r w:rsidR="00FB747A" w:rsidRPr="00C92385">
        <w:rPr>
          <w:rFonts w:cs="Times New Roman"/>
        </w:rPr>
        <w:t xml:space="preserve"> limited</w:t>
      </w:r>
      <w:r w:rsidR="00D81D53" w:rsidRPr="00C92385">
        <w:rPr>
          <w:rFonts w:cs="Times New Roman"/>
        </w:rPr>
        <w:t xml:space="preserve"> natural</w:t>
      </w:r>
      <w:r w:rsidRPr="00C92385">
        <w:rPr>
          <w:rFonts w:cs="Times New Roman"/>
        </w:rPr>
        <w:t xml:space="preserve"> resources </w:t>
      </w:r>
      <w:r w:rsidR="00FB747A" w:rsidRPr="00C92385">
        <w:rPr>
          <w:rFonts w:cs="Times New Roman"/>
        </w:rPr>
        <w:t xml:space="preserve">needed to </w:t>
      </w:r>
      <w:r w:rsidRPr="00C92385">
        <w:rPr>
          <w:rFonts w:cs="Times New Roman"/>
        </w:rPr>
        <w:t xml:space="preserve">improve their political and institutional infrastructure to attract </w:t>
      </w:r>
      <w:r w:rsidR="00FB747A" w:rsidRPr="00C92385">
        <w:rPr>
          <w:rFonts w:cs="Times New Roman"/>
        </w:rPr>
        <w:t xml:space="preserve">much needed </w:t>
      </w:r>
      <w:r w:rsidRPr="00C92385">
        <w:rPr>
          <w:rFonts w:cs="Times New Roman"/>
        </w:rPr>
        <w:t>FDI.</w:t>
      </w:r>
      <w:r w:rsidR="00FB747A" w:rsidRPr="00C92385">
        <w:rPr>
          <w:rFonts w:cs="Times New Roman"/>
        </w:rPr>
        <w:t xml:space="preserve"> </w:t>
      </w:r>
    </w:p>
    <w:p w:rsidR="00334F50" w:rsidRPr="00C92385" w:rsidRDefault="00334F50" w:rsidP="00B108CE">
      <w:pPr>
        <w:rPr>
          <w:rFonts w:cs="Times New Roman"/>
        </w:rPr>
      </w:pPr>
    </w:p>
    <w:p w:rsidR="00334F50" w:rsidRPr="00C92385" w:rsidRDefault="004A005C" w:rsidP="004A005C">
      <w:pPr>
        <w:rPr>
          <w:rFonts w:cs="Times New Roman"/>
          <w:bCs/>
          <w:i/>
        </w:rPr>
      </w:pPr>
      <w:r w:rsidRPr="00C92385">
        <w:rPr>
          <w:rFonts w:cs="Times New Roman"/>
          <w:bCs/>
          <w:i/>
        </w:rPr>
        <w:t xml:space="preserve">Positive Effect of </w:t>
      </w:r>
      <w:r w:rsidR="00334F50" w:rsidRPr="00C92385">
        <w:rPr>
          <w:rFonts w:cs="Times New Roman"/>
          <w:bCs/>
          <w:i/>
        </w:rPr>
        <w:t xml:space="preserve">Political Risk </w:t>
      </w:r>
      <w:r w:rsidRPr="00C92385">
        <w:rPr>
          <w:rFonts w:cs="Times New Roman"/>
          <w:bCs/>
          <w:i/>
        </w:rPr>
        <w:t xml:space="preserve">on </w:t>
      </w:r>
      <w:r w:rsidR="00334F50" w:rsidRPr="00C92385">
        <w:rPr>
          <w:rFonts w:cs="Times New Roman"/>
          <w:bCs/>
          <w:i/>
        </w:rPr>
        <w:t>FDI</w:t>
      </w:r>
      <w:r w:rsidRPr="00C92385">
        <w:rPr>
          <w:rFonts w:cs="Times New Roman"/>
          <w:bCs/>
          <w:i/>
        </w:rPr>
        <w:t xml:space="preserve"> Inflow</w:t>
      </w:r>
    </w:p>
    <w:p w:rsidR="00334F50" w:rsidRPr="00C92385" w:rsidRDefault="00334F50" w:rsidP="004A005C">
      <w:pPr>
        <w:rPr>
          <w:rFonts w:cs="Times New Roman"/>
        </w:rPr>
      </w:pPr>
      <w:r w:rsidRPr="00C92385">
        <w:rPr>
          <w:rFonts w:cs="Times New Roman"/>
        </w:rPr>
        <w:t xml:space="preserve">Some studies </w:t>
      </w:r>
      <w:r w:rsidR="004A005C" w:rsidRPr="00C92385">
        <w:rPr>
          <w:rFonts w:cs="Times New Roman"/>
        </w:rPr>
        <w:t>observed</w:t>
      </w:r>
      <w:r w:rsidRPr="00C92385">
        <w:rPr>
          <w:rFonts w:cs="Times New Roman"/>
        </w:rPr>
        <w:t xml:space="preserve"> that conditions of high political risk in developing countries attract MNEs. Dar-</w:t>
      </w:r>
      <w:proofErr w:type="spellStart"/>
      <w:r w:rsidRPr="00C92385">
        <w:rPr>
          <w:rFonts w:cs="Times New Roman"/>
        </w:rPr>
        <w:t>Hsin</w:t>
      </w:r>
      <w:proofErr w:type="spellEnd"/>
      <w:r w:rsidR="00E15F8A">
        <w:rPr>
          <w:rFonts w:cs="Times New Roman"/>
        </w:rPr>
        <w:t>,</w:t>
      </w:r>
      <w:r w:rsidRPr="00C92385">
        <w:rPr>
          <w:rFonts w:cs="Times New Roman"/>
        </w:rPr>
        <w:t xml:space="preserve"> </w:t>
      </w:r>
      <w:r w:rsidR="00E15F8A" w:rsidRPr="00C92385">
        <w:rPr>
          <w:rFonts w:cs="Times New Roman"/>
        </w:rPr>
        <w:t xml:space="preserve">Feng-Shun, </w:t>
      </w:r>
      <w:r w:rsidR="00E15F8A">
        <w:rPr>
          <w:rFonts w:cs="Times New Roman"/>
        </w:rPr>
        <w:t>and</w:t>
      </w:r>
      <w:r w:rsidR="00E15F8A" w:rsidRPr="00C92385">
        <w:rPr>
          <w:rFonts w:cs="Times New Roman"/>
        </w:rPr>
        <w:t xml:space="preserve"> Chun-Da</w:t>
      </w:r>
      <w:r w:rsidRPr="00C92385">
        <w:rPr>
          <w:rFonts w:cs="Times New Roman"/>
        </w:rPr>
        <w:t xml:space="preserve"> (2005)</w:t>
      </w:r>
      <w:r w:rsidR="004A005C" w:rsidRPr="00C92385">
        <w:rPr>
          <w:rFonts w:cs="Times New Roman"/>
        </w:rPr>
        <w:t xml:space="preserve">, </w:t>
      </w:r>
      <w:proofErr w:type="spellStart"/>
      <w:r w:rsidRPr="00C92385">
        <w:rPr>
          <w:rFonts w:cs="Times New Roman"/>
        </w:rPr>
        <w:t>Janeba</w:t>
      </w:r>
      <w:proofErr w:type="spellEnd"/>
      <w:r w:rsidRPr="00C92385">
        <w:rPr>
          <w:rFonts w:cs="Times New Roman"/>
        </w:rPr>
        <w:t xml:space="preserve"> (2002</w:t>
      </w:r>
      <w:r w:rsidR="004A005C" w:rsidRPr="00C92385">
        <w:rPr>
          <w:rFonts w:cs="Times New Roman"/>
        </w:rPr>
        <w:t>)</w:t>
      </w:r>
      <w:r w:rsidRPr="00C92385">
        <w:rPr>
          <w:rFonts w:cs="Times New Roman"/>
        </w:rPr>
        <w:t xml:space="preserve"> and </w:t>
      </w:r>
      <w:proofErr w:type="spellStart"/>
      <w:r w:rsidRPr="00C92385">
        <w:rPr>
          <w:rFonts w:cs="Times New Roman"/>
        </w:rPr>
        <w:t>Asiedu</w:t>
      </w:r>
      <w:proofErr w:type="spellEnd"/>
      <w:r w:rsidRPr="00C92385">
        <w:rPr>
          <w:rFonts w:cs="Times New Roman"/>
        </w:rPr>
        <w:t xml:space="preserve"> and Lien (2011) suggest that there is </w:t>
      </w:r>
      <w:r w:rsidR="004A005C" w:rsidRPr="00C92385">
        <w:rPr>
          <w:rFonts w:cs="Times New Roman"/>
        </w:rPr>
        <w:t xml:space="preserve">a </w:t>
      </w:r>
      <w:r w:rsidRPr="00C92385">
        <w:rPr>
          <w:rFonts w:cs="Times New Roman"/>
        </w:rPr>
        <w:t xml:space="preserve">positive relationship between political instability and </w:t>
      </w:r>
      <w:r w:rsidR="0028025F">
        <w:rPr>
          <w:rFonts w:cs="Times New Roman"/>
        </w:rPr>
        <w:t xml:space="preserve">FDI </w:t>
      </w:r>
      <w:r w:rsidR="004A005C" w:rsidRPr="00C92385">
        <w:rPr>
          <w:rFonts w:cs="Times New Roman"/>
        </w:rPr>
        <w:t>in</w:t>
      </w:r>
      <w:r w:rsidRPr="00C92385">
        <w:rPr>
          <w:rFonts w:cs="Times New Roman"/>
        </w:rPr>
        <w:t>flow. Dar-</w:t>
      </w:r>
      <w:proofErr w:type="spellStart"/>
      <w:r w:rsidRPr="00C92385">
        <w:rPr>
          <w:rFonts w:cs="Times New Roman"/>
        </w:rPr>
        <w:t>Hsin</w:t>
      </w:r>
      <w:proofErr w:type="spellEnd"/>
      <w:r w:rsidRPr="00C92385">
        <w:rPr>
          <w:rFonts w:cs="Times New Roman"/>
        </w:rPr>
        <w:t xml:space="preserve"> et al. </w:t>
      </w:r>
      <w:r w:rsidR="0028025F">
        <w:rPr>
          <w:rFonts w:cs="Times New Roman"/>
        </w:rPr>
        <w:t xml:space="preserve">argued that some high </w:t>
      </w:r>
      <w:r w:rsidRPr="00C92385">
        <w:rPr>
          <w:rFonts w:cs="Times New Roman"/>
        </w:rPr>
        <w:t xml:space="preserve">political </w:t>
      </w:r>
      <w:r w:rsidR="0028025F">
        <w:rPr>
          <w:rFonts w:cs="Times New Roman"/>
        </w:rPr>
        <w:t xml:space="preserve">risks cause host country </w:t>
      </w:r>
      <w:r w:rsidRPr="00C92385">
        <w:rPr>
          <w:rFonts w:cs="Times New Roman"/>
        </w:rPr>
        <w:t xml:space="preserve">assets </w:t>
      </w:r>
      <w:r w:rsidR="0028025F">
        <w:rPr>
          <w:rFonts w:cs="Times New Roman"/>
        </w:rPr>
        <w:t xml:space="preserve">to be </w:t>
      </w:r>
      <w:r w:rsidRPr="00C92385">
        <w:rPr>
          <w:rFonts w:cs="Times New Roman"/>
        </w:rPr>
        <w:t>under-valued</w:t>
      </w:r>
      <w:r w:rsidR="0028025F">
        <w:rPr>
          <w:rFonts w:cs="Times New Roman"/>
        </w:rPr>
        <w:t xml:space="preserve"> excessively to make </w:t>
      </w:r>
      <w:r w:rsidRPr="00C92385">
        <w:rPr>
          <w:rFonts w:cs="Times New Roman"/>
        </w:rPr>
        <w:t xml:space="preserve">them </w:t>
      </w:r>
      <w:r w:rsidR="001C0E75">
        <w:rPr>
          <w:rFonts w:cs="Times New Roman"/>
        </w:rPr>
        <w:t xml:space="preserve">increasingly </w:t>
      </w:r>
      <w:r w:rsidRPr="00C92385">
        <w:rPr>
          <w:rFonts w:cs="Times New Roman"/>
        </w:rPr>
        <w:t>attractive to foreign investors</w:t>
      </w:r>
      <w:r w:rsidR="004A005C" w:rsidRPr="00C92385">
        <w:rPr>
          <w:rFonts w:cs="Times New Roman"/>
        </w:rPr>
        <w:t xml:space="preserve">. </w:t>
      </w:r>
      <w:proofErr w:type="spellStart"/>
      <w:r w:rsidRPr="00C92385">
        <w:rPr>
          <w:rFonts w:cs="Times New Roman"/>
        </w:rPr>
        <w:t>Janeba</w:t>
      </w:r>
      <w:proofErr w:type="spellEnd"/>
      <w:r w:rsidRPr="00C92385">
        <w:rPr>
          <w:rFonts w:cs="Times New Roman"/>
        </w:rPr>
        <w:t xml:space="preserve"> (2002</w:t>
      </w:r>
      <w:r w:rsidR="004A005C" w:rsidRPr="00C92385">
        <w:rPr>
          <w:rFonts w:cs="Times New Roman"/>
        </w:rPr>
        <w:t>)</w:t>
      </w:r>
      <w:r w:rsidRPr="00C92385">
        <w:rPr>
          <w:rFonts w:cs="Times New Roman"/>
        </w:rPr>
        <w:t xml:space="preserve"> discovered that most high political risk environments </w:t>
      </w:r>
      <w:r w:rsidR="0028025F">
        <w:rPr>
          <w:rFonts w:cs="Times New Roman"/>
        </w:rPr>
        <w:t xml:space="preserve">become attractive FDI destinations because of </w:t>
      </w:r>
      <w:r w:rsidRPr="00C92385">
        <w:rPr>
          <w:rFonts w:cs="Times New Roman"/>
        </w:rPr>
        <w:t>low factor costs which</w:t>
      </w:r>
      <w:r w:rsidR="0028025F">
        <w:rPr>
          <w:rFonts w:cs="Times New Roman"/>
        </w:rPr>
        <w:t xml:space="preserve"> </w:t>
      </w:r>
      <w:r w:rsidR="005E6D7F">
        <w:rPr>
          <w:rFonts w:cs="Times New Roman"/>
        </w:rPr>
        <w:t>serve</w:t>
      </w:r>
      <w:r w:rsidR="0028025F">
        <w:rPr>
          <w:rFonts w:cs="Times New Roman"/>
        </w:rPr>
        <w:t xml:space="preserve"> as </w:t>
      </w:r>
      <w:r w:rsidR="00F42A2E">
        <w:rPr>
          <w:rFonts w:cs="Times New Roman"/>
        </w:rPr>
        <w:t xml:space="preserve">an </w:t>
      </w:r>
      <w:r w:rsidR="0028025F">
        <w:rPr>
          <w:rFonts w:cs="Times New Roman"/>
        </w:rPr>
        <w:t xml:space="preserve">acceptable risk </w:t>
      </w:r>
      <w:r w:rsidR="0028025F" w:rsidRPr="00C92385">
        <w:rPr>
          <w:rFonts w:cs="Times New Roman"/>
        </w:rPr>
        <w:t>trade</w:t>
      </w:r>
      <w:r w:rsidR="0028025F">
        <w:rPr>
          <w:rFonts w:cs="Times New Roman"/>
        </w:rPr>
        <w:t xml:space="preserve"> </w:t>
      </w:r>
      <w:r w:rsidR="0028025F" w:rsidRPr="00C92385">
        <w:rPr>
          <w:rFonts w:cs="Times New Roman"/>
        </w:rPr>
        <w:t>off</w:t>
      </w:r>
      <w:r w:rsidRPr="00C92385">
        <w:rPr>
          <w:rFonts w:cs="Times New Roman"/>
        </w:rPr>
        <w:t>. This implies that foreign firms w</w:t>
      </w:r>
      <w:r w:rsidR="004A005C" w:rsidRPr="00C92385">
        <w:rPr>
          <w:rFonts w:cs="Times New Roman"/>
        </w:rPr>
        <w:t>ould</w:t>
      </w:r>
      <w:r w:rsidRPr="00C92385">
        <w:rPr>
          <w:rFonts w:cs="Times New Roman"/>
        </w:rPr>
        <w:t xml:space="preserve"> be able to handle their operations in a cost effective manner</w:t>
      </w:r>
      <w:r w:rsidR="00F42A2E">
        <w:rPr>
          <w:rFonts w:cs="Times New Roman"/>
        </w:rPr>
        <w:t>,</w:t>
      </w:r>
      <w:r w:rsidRPr="00C92385">
        <w:rPr>
          <w:rFonts w:cs="Times New Roman"/>
        </w:rPr>
        <w:t xml:space="preserve"> thereby reducing </w:t>
      </w:r>
      <w:r w:rsidR="00F42A2E">
        <w:rPr>
          <w:rFonts w:cs="Times New Roman"/>
        </w:rPr>
        <w:t xml:space="preserve">the </w:t>
      </w:r>
      <w:r w:rsidRPr="00C92385">
        <w:rPr>
          <w:rFonts w:cs="Times New Roman"/>
        </w:rPr>
        <w:t xml:space="preserve">cost of doing business and increasing </w:t>
      </w:r>
      <w:r w:rsidRPr="00C92385">
        <w:rPr>
          <w:rFonts w:cs="Times New Roman"/>
        </w:rPr>
        <w:lastRenderedPageBreak/>
        <w:t>profitability. MNEs may focus their FDI on high political risk markets to avoid competition from most other MNEs</w:t>
      </w:r>
      <w:r w:rsidR="00F42A2E">
        <w:rPr>
          <w:rFonts w:cs="Times New Roman"/>
        </w:rPr>
        <w:t>,</w:t>
      </w:r>
      <w:r w:rsidRPr="00C92385">
        <w:rPr>
          <w:rFonts w:cs="Times New Roman"/>
        </w:rPr>
        <w:t xml:space="preserve"> who may </w:t>
      </w:r>
      <w:r w:rsidR="00F42A2E">
        <w:rPr>
          <w:rFonts w:cs="Times New Roman"/>
        </w:rPr>
        <w:t xml:space="preserve">be cautious about investing in </w:t>
      </w:r>
      <w:r w:rsidR="005E6D7F">
        <w:rPr>
          <w:rFonts w:cs="Times New Roman"/>
        </w:rPr>
        <w:t>such</w:t>
      </w:r>
      <w:r w:rsidRPr="00C92385">
        <w:rPr>
          <w:rFonts w:cs="Times New Roman"/>
        </w:rPr>
        <w:t xml:space="preserve"> risky markets.</w:t>
      </w:r>
    </w:p>
    <w:p w:rsidR="00334F50" w:rsidRPr="00C92385" w:rsidRDefault="00334F50" w:rsidP="00FC1DAF">
      <w:pPr>
        <w:ind w:firstLine="720"/>
        <w:rPr>
          <w:rFonts w:cs="Times New Roman"/>
        </w:rPr>
      </w:pPr>
      <w:proofErr w:type="spellStart"/>
      <w:r w:rsidRPr="00C92385">
        <w:rPr>
          <w:rFonts w:cs="Times New Roman"/>
        </w:rPr>
        <w:t>Okafor</w:t>
      </w:r>
      <w:proofErr w:type="spellEnd"/>
      <w:r w:rsidRPr="00C92385">
        <w:rPr>
          <w:rFonts w:cs="Times New Roman"/>
        </w:rPr>
        <w:t xml:space="preserve"> et al. (2011), and Li and Resnick (2003</w:t>
      </w:r>
      <w:r w:rsidR="008F000E" w:rsidRPr="00C92385">
        <w:rPr>
          <w:rFonts w:cs="Times New Roman"/>
        </w:rPr>
        <w:t>)</w:t>
      </w:r>
      <w:r w:rsidRPr="00C92385">
        <w:rPr>
          <w:rFonts w:cs="Times New Roman"/>
        </w:rPr>
        <w:t xml:space="preserve">, </w:t>
      </w:r>
      <w:r w:rsidR="008F000E" w:rsidRPr="00C92385">
        <w:rPr>
          <w:rFonts w:cs="Times New Roman"/>
        </w:rPr>
        <w:t xml:space="preserve">in </w:t>
      </w:r>
      <w:r w:rsidRPr="00C92385">
        <w:rPr>
          <w:rFonts w:cs="Times New Roman"/>
        </w:rPr>
        <w:t xml:space="preserve">separate studies focusing on the impact of the democratic component of political risk on the </w:t>
      </w:r>
      <w:r w:rsidR="008F000E" w:rsidRPr="00C92385">
        <w:rPr>
          <w:rFonts w:cs="Times New Roman"/>
        </w:rPr>
        <w:t>in</w:t>
      </w:r>
      <w:r w:rsidRPr="00C92385">
        <w:rPr>
          <w:rFonts w:cs="Times New Roman"/>
        </w:rPr>
        <w:t>flow of FDI</w:t>
      </w:r>
      <w:r w:rsidR="006313A4">
        <w:rPr>
          <w:rFonts w:cs="Times New Roman"/>
        </w:rPr>
        <w:t>,</w:t>
      </w:r>
      <w:r w:rsidRPr="00C92385">
        <w:rPr>
          <w:rFonts w:cs="Times New Roman"/>
        </w:rPr>
        <w:t xml:space="preserve"> arrived at the same conclusion</w:t>
      </w:r>
      <w:r w:rsidR="006313A4">
        <w:rPr>
          <w:rFonts w:cs="Times New Roman"/>
        </w:rPr>
        <w:t>;</w:t>
      </w:r>
      <w:r w:rsidRPr="00C92385">
        <w:rPr>
          <w:rFonts w:cs="Times New Roman"/>
        </w:rPr>
        <w:t xml:space="preserve"> that observance of democratic principles by developing countries discourages MNEs from investing in the countries. </w:t>
      </w:r>
      <w:proofErr w:type="spellStart"/>
      <w:r w:rsidRPr="00C92385">
        <w:rPr>
          <w:rFonts w:cs="Times New Roman"/>
        </w:rPr>
        <w:t>Okafor</w:t>
      </w:r>
      <w:proofErr w:type="spellEnd"/>
      <w:r w:rsidRPr="00C92385">
        <w:rPr>
          <w:rFonts w:cs="Times New Roman"/>
        </w:rPr>
        <w:t xml:space="preserve"> et al.’s (2011) study which focused on SSA discovered that the volume of FDI inflow to SSA declines as these countries progress to stronger and more proficient democrac</w:t>
      </w:r>
      <w:r w:rsidR="00772C0B">
        <w:rPr>
          <w:rFonts w:cs="Times New Roman"/>
        </w:rPr>
        <w:t>ies</w:t>
      </w:r>
      <w:r w:rsidRPr="00C92385">
        <w:rPr>
          <w:rFonts w:cs="Times New Roman"/>
        </w:rPr>
        <w:t xml:space="preserve">. </w:t>
      </w:r>
      <w:r w:rsidR="005E6D7F">
        <w:rPr>
          <w:rFonts w:cs="Times New Roman"/>
        </w:rPr>
        <w:t>Arguably</w:t>
      </w:r>
      <w:r w:rsidR="00772C0B">
        <w:rPr>
          <w:rFonts w:cs="Times New Roman"/>
        </w:rPr>
        <w:t>,</w:t>
      </w:r>
      <w:r w:rsidR="005E6D7F">
        <w:rPr>
          <w:rFonts w:cs="Times New Roman"/>
        </w:rPr>
        <w:t xml:space="preserve"> these results could have been influenced by the dominance of investments </w:t>
      </w:r>
      <w:r w:rsidR="006313A4">
        <w:rPr>
          <w:rFonts w:cs="Times New Roman"/>
        </w:rPr>
        <w:t xml:space="preserve">from </w:t>
      </w:r>
      <w:r w:rsidR="005E6D7F">
        <w:rPr>
          <w:rFonts w:cs="Times New Roman"/>
        </w:rPr>
        <w:t>emerging markets who exploit the absence of democratic principles. It is not surprising</w:t>
      </w:r>
      <w:r w:rsidR="007E4735">
        <w:rPr>
          <w:rFonts w:cs="Times New Roman"/>
        </w:rPr>
        <w:t>,</w:t>
      </w:r>
      <w:r w:rsidR="005E6D7F">
        <w:rPr>
          <w:rFonts w:cs="Times New Roman"/>
        </w:rPr>
        <w:t xml:space="preserve"> therefore</w:t>
      </w:r>
      <w:r w:rsidR="007E4735">
        <w:rPr>
          <w:rFonts w:cs="Times New Roman"/>
        </w:rPr>
        <w:t>,</w:t>
      </w:r>
      <w:r w:rsidR="005E6D7F">
        <w:rPr>
          <w:rFonts w:cs="Times New Roman"/>
        </w:rPr>
        <w:t xml:space="preserve"> that </w:t>
      </w:r>
      <w:r w:rsidRPr="00C92385">
        <w:rPr>
          <w:rFonts w:cs="Times New Roman"/>
        </w:rPr>
        <w:t>Li and Resnick (2003</w:t>
      </w:r>
      <w:r w:rsidR="008F000E" w:rsidRPr="00C92385">
        <w:rPr>
          <w:rFonts w:cs="Times New Roman"/>
        </w:rPr>
        <w:t>)</w:t>
      </w:r>
      <w:r w:rsidRPr="00C92385">
        <w:rPr>
          <w:rFonts w:cs="Times New Roman"/>
        </w:rPr>
        <w:t xml:space="preserve"> </w:t>
      </w:r>
      <w:r w:rsidR="005E6D7F">
        <w:rPr>
          <w:rFonts w:cs="Times New Roman"/>
        </w:rPr>
        <w:t xml:space="preserve">also </w:t>
      </w:r>
      <w:r w:rsidRPr="00C92385">
        <w:rPr>
          <w:rFonts w:cs="Times New Roman"/>
        </w:rPr>
        <w:t>observed that MNEs prefer to invest in developing countries with autocratic or totalitarian governments</w:t>
      </w:r>
      <w:r w:rsidR="00727B9F" w:rsidRPr="00C92385">
        <w:rPr>
          <w:rFonts w:cs="Times New Roman"/>
        </w:rPr>
        <w:t>.</w:t>
      </w:r>
      <w:r w:rsidRPr="00C92385">
        <w:rPr>
          <w:rFonts w:cs="Times New Roman"/>
        </w:rPr>
        <w:t xml:space="preserve"> </w:t>
      </w:r>
      <w:r w:rsidR="00727B9F" w:rsidRPr="00C92385">
        <w:rPr>
          <w:rFonts w:cs="Times New Roman"/>
        </w:rPr>
        <w:t>N</w:t>
      </w:r>
      <w:r w:rsidRPr="00C92385">
        <w:rPr>
          <w:rFonts w:cs="Times New Roman"/>
        </w:rPr>
        <w:t>oting that</w:t>
      </w:r>
      <w:r w:rsidR="006313A4">
        <w:rPr>
          <w:rFonts w:cs="Times New Roman"/>
        </w:rPr>
        <w:t>,</w:t>
      </w:r>
      <w:r w:rsidRPr="00C92385">
        <w:rPr>
          <w:rFonts w:cs="Times New Roman"/>
        </w:rPr>
        <w:t xml:space="preserve"> unlike democratic governments, autocratic governments are not answerable to their people and so can offer better incentives and protection from labour unions to the MNEs. </w:t>
      </w:r>
    </w:p>
    <w:p w:rsidR="00334F50" w:rsidRPr="00C92385" w:rsidRDefault="00334F50" w:rsidP="00B108CE">
      <w:pPr>
        <w:rPr>
          <w:rFonts w:cs="Times New Roman"/>
        </w:rPr>
      </w:pPr>
    </w:p>
    <w:p w:rsidR="00334F50" w:rsidRPr="00C92385" w:rsidRDefault="00435E1B" w:rsidP="00B108CE">
      <w:pPr>
        <w:rPr>
          <w:rFonts w:cs="Times New Roman"/>
          <w:bCs/>
          <w:i/>
        </w:rPr>
      </w:pPr>
      <w:r w:rsidRPr="00C92385">
        <w:rPr>
          <w:rFonts w:cs="Times New Roman"/>
          <w:i/>
        </w:rPr>
        <w:t xml:space="preserve">Insignificant </w:t>
      </w:r>
      <w:r w:rsidR="00334F50" w:rsidRPr="00C92385">
        <w:rPr>
          <w:rFonts w:cs="Times New Roman"/>
          <w:bCs/>
          <w:i/>
        </w:rPr>
        <w:t>Relationship between Political Risk and FDI</w:t>
      </w:r>
      <w:r w:rsidRPr="00C92385">
        <w:rPr>
          <w:rFonts w:cs="Times New Roman"/>
          <w:bCs/>
          <w:i/>
        </w:rPr>
        <w:t xml:space="preserve"> Inflow</w:t>
      </w:r>
    </w:p>
    <w:p w:rsidR="00FC1DAF" w:rsidRDefault="00435E1B" w:rsidP="00B108CE">
      <w:pPr>
        <w:rPr>
          <w:rFonts w:cs="Times New Roman"/>
        </w:rPr>
      </w:pPr>
      <w:r w:rsidRPr="00C92385">
        <w:rPr>
          <w:rFonts w:cs="Times New Roman"/>
        </w:rPr>
        <w:t>As indicated earlier</w:t>
      </w:r>
      <w:r w:rsidR="00CE5BEF" w:rsidRPr="00C92385">
        <w:rPr>
          <w:rFonts w:cs="Times New Roman"/>
        </w:rPr>
        <w:t>,</w:t>
      </w:r>
      <w:r w:rsidRPr="00C92385">
        <w:rPr>
          <w:rFonts w:cs="Times New Roman"/>
        </w:rPr>
        <w:t xml:space="preserve"> some other findings</w:t>
      </w:r>
      <w:r w:rsidR="00824423" w:rsidRPr="00C92385">
        <w:rPr>
          <w:rFonts w:cs="Times New Roman"/>
        </w:rPr>
        <w:t xml:space="preserve"> such as </w:t>
      </w:r>
      <w:proofErr w:type="spellStart"/>
      <w:r w:rsidR="00824423" w:rsidRPr="00C92385">
        <w:rPr>
          <w:rFonts w:cs="Times New Roman"/>
        </w:rPr>
        <w:t>Asiedu</w:t>
      </w:r>
      <w:proofErr w:type="spellEnd"/>
      <w:r w:rsidR="00824423" w:rsidRPr="00C92385">
        <w:rPr>
          <w:rFonts w:cs="Times New Roman"/>
        </w:rPr>
        <w:t xml:space="preserve"> (2002) and </w:t>
      </w:r>
      <w:proofErr w:type="spellStart"/>
      <w:r w:rsidR="00824423" w:rsidRPr="00C92385">
        <w:rPr>
          <w:rFonts w:cs="Times New Roman"/>
        </w:rPr>
        <w:t>Noorbakhsh</w:t>
      </w:r>
      <w:proofErr w:type="spellEnd"/>
      <w:r w:rsidR="00824423" w:rsidRPr="00C92385">
        <w:rPr>
          <w:rFonts w:cs="Times New Roman"/>
        </w:rPr>
        <w:t xml:space="preserve">, </w:t>
      </w:r>
      <w:proofErr w:type="spellStart"/>
      <w:r w:rsidR="00824423" w:rsidRPr="00C92385">
        <w:rPr>
          <w:rFonts w:cs="Times New Roman"/>
        </w:rPr>
        <w:t>Polani</w:t>
      </w:r>
      <w:proofErr w:type="spellEnd"/>
      <w:r w:rsidR="00824423" w:rsidRPr="00C92385">
        <w:rPr>
          <w:rFonts w:cs="Times New Roman"/>
        </w:rPr>
        <w:t xml:space="preserve">, and Youssef (2001) </w:t>
      </w:r>
      <w:r w:rsidRPr="00C92385">
        <w:rPr>
          <w:rFonts w:cs="Times New Roman"/>
        </w:rPr>
        <w:t>indicate an insignificant relationship</w:t>
      </w:r>
      <w:r w:rsidR="00824423" w:rsidRPr="00C92385">
        <w:rPr>
          <w:rFonts w:cs="Times New Roman"/>
        </w:rPr>
        <w:t xml:space="preserve"> between political risk and FDI inflow. </w:t>
      </w:r>
      <w:r w:rsidRPr="00C92385">
        <w:rPr>
          <w:rFonts w:cs="Times New Roman"/>
        </w:rPr>
        <w:t xml:space="preserve">Both strands of research appear to argue that political risk does not necessarily </w:t>
      </w:r>
      <w:r w:rsidR="006313A4">
        <w:rPr>
          <w:rFonts w:cs="Times New Roman"/>
        </w:rPr>
        <w:t>or</w:t>
      </w:r>
      <w:r w:rsidRPr="00C92385">
        <w:rPr>
          <w:rFonts w:cs="Times New Roman"/>
        </w:rPr>
        <w:t xml:space="preserve"> significantly influence MNE</w:t>
      </w:r>
      <w:r w:rsidR="00CE5BEF" w:rsidRPr="00C92385">
        <w:rPr>
          <w:rFonts w:cs="Times New Roman"/>
        </w:rPr>
        <w:t>s</w:t>
      </w:r>
      <w:r w:rsidR="00727B9F" w:rsidRPr="00C92385">
        <w:rPr>
          <w:rFonts w:cs="Times New Roman"/>
        </w:rPr>
        <w:t xml:space="preserve"> FDI location</w:t>
      </w:r>
      <w:r w:rsidRPr="00C92385">
        <w:rPr>
          <w:rFonts w:cs="Times New Roman"/>
        </w:rPr>
        <w:t xml:space="preserve"> decisions.</w:t>
      </w:r>
      <w:r w:rsidR="00334F50" w:rsidRPr="00C92385">
        <w:rPr>
          <w:rFonts w:cs="Times New Roman"/>
        </w:rPr>
        <w:t xml:space="preserve"> </w:t>
      </w:r>
      <w:r w:rsidRPr="00C92385">
        <w:rPr>
          <w:rFonts w:cs="Times New Roman"/>
        </w:rPr>
        <w:t>A report by the</w:t>
      </w:r>
      <w:r w:rsidR="00334F50" w:rsidRPr="00C92385">
        <w:rPr>
          <w:rFonts w:cs="Times New Roman"/>
        </w:rPr>
        <w:t xml:space="preserve"> Economic Intelligence Unit, EIU (2007) observed that high political risk does not deter FDI. The report stated that</w:t>
      </w:r>
      <w:r w:rsidR="006313A4">
        <w:rPr>
          <w:rFonts w:cs="Times New Roman"/>
        </w:rPr>
        <w:t>,</w:t>
      </w:r>
      <w:r w:rsidR="00334F50" w:rsidRPr="00C92385">
        <w:rPr>
          <w:rFonts w:cs="Times New Roman"/>
        </w:rPr>
        <w:t xml:space="preserve"> contrary to pop</w:t>
      </w:r>
      <w:r w:rsidRPr="00C92385">
        <w:rPr>
          <w:rFonts w:cs="Times New Roman"/>
        </w:rPr>
        <w:t>ular thinking, foreign investor</w:t>
      </w:r>
      <w:r w:rsidR="00CE5BEF" w:rsidRPr="00C92385">
        <w:rPr>
          <w:rFonts w:cs="Times New Roman"/>
        </w:rPr>
        <w:t>s’</w:t>
      </w:r>
      <w:r w:rsidR="00334F50" w:rsidRPr="00C92385">
        <w:rPr>
          <w:rFonts w:cs="Times New Roman"/>
        </w:rPr>
        <w:t xml:space="preserve"> </w:t>
      </w:r>
      <w:r w:rsidRPr="00C92385">
        <w:rPr>
          <w:rFonts w:cs="Times New Roman"/>
        </w:rPr>
        <w:t>location</w:t>
      </w:r>
      <w:r w:rsidR="00334F50" w:rsidRPr="00C92385">
        <w:rPr>
          <w:rFonts w:cs="Times New Roman"/>
        </w:rPr>
        <w:t xml:space="preserve"> decisions focus on macro-conditions rather than political risk. This suggests that it is the overall business environment in a country that primarily</w:t>
      </w:r>
      <w:r w:rsidRPr="00C92385">
        <w:rPr>
          <w:rFonts w:cs="Times New Roman"/>
        </w:rPr>
        <w:t xml:space="preserve"> influences </w:t>
      </w:r>
      <w:r w:rsidR="00334F50" w:rsidRPr="00C92385">
        <w:rPr>
          <w:rFonts w:cs="Times New Roman"/>
        </w:rPr>
        <w:t>MNE</w:t>
      </w:r>
      <w:r w:rsidR="00CE5BEF" w:rsidRPr="00C92385">
        <w:rPr>
          <w:rFonts w:cs="Times New Roman"/>
        </w:rPr>
        <w:t>s</w:t>
      </w:r>
      <w:r w:rsidR="00334F50" w:rsidRPr="00C92385">
        <w:rPr>
          <w:rFonts w:cs="Times New Roman"/>
        </w:rPr>
        <w:t xml:space="preserve"> </w:t>
      </w:r>
      <w:r w:rsidRPr="00C92385">
        <w:rPr>
          <w:rFonts w:cs="Times New Roman"/>
        </w:rPr>
        <w:t>location decisions.</w:t>
      </w:r>
      <w:r w:rsidR="00334F50" w:rsidRPr="00C92385">
        <w:rPr>
          <w:rFonts w:cs="Times New Roman"/>
        </w:rPr>
        <w:t xml:space="preserve"> The EIU (2007) noted that MNEs now mitigate political risk through sophisticated strategies and insurance scheme</w:t>
      </w:r>
      <w:r w:rsidR="00824423" w:rsidRPr="00C92385">
        <w:rPr>
          <w:rFonts w:cs="Times New Roman"/>
        </w:rPr>
        <w:t>s</w:t>
      </w:r>
      <w:r w:rsidR="006313A4">
        <w:rPr>
          <w:rFonts w:cs="Times New Roman"/>
        </w:rPr>
        <w:t>,</w:t>
      </w:r>
      <w:r w:rsidR="00334F50" w:rsidRPr="00C92385">
        <w:rPr>
          <w:rFonts w:cs="Times New Roman"/>
        </w:rPr>
        <w:t xml:space="preserve"> thereby reducing the contribution of political risk factors </w:t>
      </w:r>
      <w:r w:rsidR="00824423" w:rsidRPr="00C92385">
        <w:rPr>
          <w:rFonts w:cs="Times New Roman"/>
        </w:rPr>
        <w:t xml:space="preserve">to </w:t>
      </w:r>
      <w:r w:rsidR="00334F50" w:rsidRPr="00C92385">
        <w:rPr>
          <w:rFonts w:cs="Times New Roman"/>
        </w:rPr>
        <w:t xml:space="preserve">their </w:t>
      </w:r>
      <w:r w:rsidR="00824423" w:rsidRPr="00C92385">
        <w:rPr>
          <w:rFonts w:cs="Times New Roman"/>
        </w:rPr>
        <w:t xml:space="preserve">location </w:t>
      </w:r>
      <w:r w:rsidR="00334F50" w:rsidRPr="00C92385">
        <w:rPr>
          <w:rFonts w:cs="Times New Roman"/>
        </w:rPr>
        <w:t xml:space="preserve">decision making process. </w:t>
      </w:r>
      <w:r w:rsidR="0058267C">
        <w:rPr>
          <w:rFonts w:cs="Times New Roman"/>
        </w:rPr>
        <w:t xml:space="preserve">MNEs use the political risk forecasts to buy insurance to </w:t>
      </w:r>
      <w:r w:rsidR="0080031E">
        <w:rPr>
          <w:rFonts w:cs="Times New Roman"/>
        </w:rPr>
        <w:t>moderate</w:t>
      </w:r>
      <w:r w:rsidR="0058267C">
        <w:rPr>
          <w:rFonts w:cs="Times New Roman"/>
        </w:rPr>
        <w:t xml:space="preserve"> the potential political risk </w:t>
      </w:r>
      <w:r w:rsidR="00334F50" w:rsidRPr="00C92385">
        <w:rPr>
          <w:rFonts w:cs="Times New Roman"/>
        </w:rPr>
        <w:t xml:space="preserve">deciding where to invest. </w:t>
      </w:r>
    </w:p>
    <w:p w:rsidR="00D570AC" w:rsidRDefault="00D570AC" w:rsidP="00B108CE">
      <w:pPr>
        <w:rPr>
          <w:rFonts w:cs="Times New Roman"/>
        </w:rPr>
      </w:pPr>
    </w:p>
    <w:p w:rsidR="0047542A" w:rsidRPr="00C92385" w:rsidRDefault="0047542A" w:rsidP="009F0B36">
      <w:pPr>
        <w:rPr>
          <w:rFonts w:cs="Times New Roman"/>
          <w:i/>
        </w:rPr>
      </w:pPr>
      <w:r w:rsidRPr="00C92385">
        <w:rPr>
          <w:rFonts w:cs="Times New Roman"/>
          <w:i/>
        </w:rPr>
        <w:t xml:space="preserve">Telecommunication FDI in Sub-Saharan Africa </w:t>
      </w:r>
      <w:r w:rsidR="00CE5BEF" w:rsidRPr="00C92385">
        <w:rPr>
          <w:rFonts w:cs="Times New Roman"/>
          <w:i/>
        </w:rPr>
        <w:t>(SSA)</w:t>
      </w:r>
    </w:p>
    <w:p w:rsidR="0047542A" w:rsidRPr="00C92385" w:rsidRDefault="0047542A" w:rsidP="00B108CE">
      <w:pPr>
        <w:rPr>
          <w:rFonts w:cs="Times New Roman"/>
        </w:rPr>
      </w:pPr>
      <w:proofErr w:type="spellStart"/>
      <w:r w:rsidRPr="00C92385">
        <w:rPr>
          <w:rFonts w:cs="Times New Roman"/>
        </w:rPr>
        <w:t>Madichie</w:t>
      </w:r>
      <w:proofErr w:type="spellEnd"/>
      <w:r w:rsidRPr="00C92385">
        <w:rPr>
          <w:rFonts w:cs="Times New Roman"/>
        </w:rPr>
        <w:t xml:space="preserve"> (2011) observed that the telecommunication</w:t>
      </w:r>
      <w:r w:rsidR="00F9330B" w:rsidRPr="00C92385">
        <w:rPr>
          <w:rFonts w:cs="Times New Roman"/>
        </w:rPr>
        <w:t>s</w:t>
      </w:r>
      <w:r w:rsidRPr="00C92385">
        <w:rPr>
          <w:rFonts w:cs="Times New Roman"/>
        </w:rPr>
        <w:t xml:space="preserve"> industry in SSA is experiencing tremendous growth</w:t>
      </w:r>
      <w:r w:rsidR="002D060B" w:rsidRPr="00C92385">
        <w:rPr>
          <w:rFonts w:cs="Times New Roman"/>
        </w:rPr>
        <w:t>,</w:t>
      </w:r>
      <w:r w:rsidRPr="00C92385">
        <w:rPr>
          <w:rFonts w:cs="Times New Roman"/>
        </w:rPr>
        <w:t xml:space="preserve"> driven by </w:t>
      </w:r>
      <w:r w:rsidR="00F9330B" w:rsidRPr="00C92385">
        <w:rPr>
          <w:rFonts w:cs="Times New Roman"/>
        </w:rPr>
        <w:t>FDI</w:t>
      </w:r>
      <w:r w:rsidRPr="00C92385">
        <w:rPr>
          <w:rFonts w:cs="Times New Roman"/>
        </w:rPr>
        <w:t xml:space="preserve"> originating mostly from the Middle East and South Africa. He identified the key drivers of this growth as Kuwaiti based Zain (formerly </w:t>
      </w:r>
      <w:proofErr w:type="spellStart"/>
      <w:r w:rsidRPr="00C92385">
        <w:rPr>
          <w:rFonts w:cs="Times New Roman"/>
        </w:rPr>
        <w:t>Celtel</w:t>
      </w:r>
      <w:proofErr w:type="spellEnd"/>
      <w:r w:rsidRPr="00C92385">
        <w:rPr>
          <w:rFonts w:cs="Times New Roman"/>
        </w:rPr>
        <w:t xml:space="preserve">), Etisalat of </w:t>
      </w:r>
      <w:r w:rsidRPr="00C92385">
        <w:rPr>
          <w:rFonts w:cs="Times New Roman"/>
        </w:rPr>
        <w:lastRenderedPageBreak/>
        <w:t xml:space="preserve">United Arab Emirates and MTN of South Africa. </w:t>
      </w:r>
      <w:proofErr w:type="spellStart"/>
      <w:r w:rsidRPr="00C92385">
        <w:rPr>
          <w:rFonts w:cs="Times New Roman"/>
        </w:rPr>
        <w:t>Madichie</w:t>
      </w:r>
      <w:proofErr w:type="spellEnd"/>
      <w:r w:rsidRPr="00C92385">
        <w:rPr>
          <w:rFonts w:cs="Times New Roman"/>
        </w:rPr>
        <w:t xml:space="preserve"> (2011) noted that Africa currently has the highest annual growth rate in mobile telephone </w:t>
      </w:r>
      <w:r w:rsidR="00F9330B" w:rsidRPr="00C92385">
        <w:rPr>
          <w:rFonts w:cs="Times New Roman"/>
        </w:rPr>
        <w:t xml:space="preserve">subscription across the world. </w:t>
      </w:r>
      <w:r w:rsidRPr="00C92385">
        <w:rPr>
          <w:rFonts w:cs="Times New Roman"/>
        </w:rPr>
        <w:t xml:space="preserve">In their study on the developmental impact of FDI on SSA, </w:t>
      </w:r>
      <w:proofErr w:type="spellStart"/>
      <w:r w:rsidRPr="00C92385">
        <w:rPr>
          <w:rFonts w:cs="Times New Roman"/>
        </w:rPr>
        <w:t>Ndikumana</w:t>
      </w:r>
      <w:proofErr w:type="spellEnd"/>
      <w:r w:rsidRPr="00C92385">
        <w:rPr>
          <w:rFonts w:cs="Times New Roman"/>
        </w:rPr>
        <w:t xml:space="preserve"> and </w:t>
      </w:r>
      <w:proofErr w:type="spellStart"/>
      <w:r w:rsidRPr="00C92385">
        <w:rPr>
          <w:rFonts w:cs="Times New Roman"/>
        </w:rPr>
        <w:t>Verick</w:t>
      </w:r>
      <w:proofErr w:type="spellEnd"/>
      <w:r w:rsidRPr="00C92385">
        <w:rPr>
          <w:rFonts w:cs="Times New Roman"/>
        </w:rPr>
        <w:t xml:space="preserve"> (2008) </w:t>
      </w:r>
      <w:r w:rsidR="00DC21E0" w:rsidRPr="00C92385">
        <w:rPr>
          <w:rFonts w:cs="Times New Roman"/>
        </w:rPr>
        <w:t>attributed MNE</w:t>
      </w:r>
      <w:r w:rsidR="002D060B" w:rsidRPr="00C92385">
        <w:rPr>
          <w:rFonts w:cs="Times New Roman"/>
        </w:rPr>
        <w:t>s</w:t>
      </w:r>
      <w:r w:rsidR="00F9330B" w:rsidRPr="00C92385">
        <w:rPr>
          <w:rFonts w:cs="Times New Roman"/>
        </w:rPr>
        <w:t xml:space="preserve"> interests i</w:t>
      </w:r>
      <w:r w:rsidRPr="00C92385">
        <w:rPr>
          <w:rFonts w:cs="Times New Roman"/>
        </w:rPr>
        <w:t xml:space="preserve">n </w:t>
      </w:r>
      <w:r w:rsidR="00F9330B" w:rsidRPr="00C92385">
        <w:rPr>
          <w:rFonts w:cs="Times New Roman"/>
        </w:rPr>
        <w:t xml:space="preserve">the </w:t>
      </w:r>
      <w:r w:rsidRPr="00C92385">
        <w:rPr>
          <w:rFonts w:cs="Times New Roman"/>
        </w:rPr>
        <w:t>SSA’s telecommunication</w:t>
      </w:r>
      <w:r w:rsidR="00F9330B" w:rsidRPr="00C92385">
        <w:rPr>
          <w:rFonts w:cs="Times New Roman"/>
        </w:rPr>
        <w:t>s</w:t>
      </w:r>
      <w:r w:rsidRPr="00C92385">
        <w:rPr>
          <w:rFonts w:cs="Times New Roman"/>
        </w:rPr>
        <w:t xml:space="preserve"> industry to the fact that </w:t>
      </w:r>
      <w:r w:rsidR="00F9330B" w:rsidRPr="00C92385">
        <w:rPr>
          <w:rFonts w:cs="Times New Roman"/>
        </w:rPr>
        <w:t xml:space="preserve">the </w:t>
      </w:r>
      <w:r w:rsidRPr="00C92385">
        <w:rPr>
          <w:rFonts w:cs="Times New Roman"/>
        </w:rPr>
        <w:t>industry</w:t>
      </w:r>
      <w:r w:rsidR="00F9330B" w:rsidRPr="00C92385">
        <w:rPr>
          <w:rFonts w:cs="Times New Roman"/>
        </w:rPr>
        <w:t xml:space="preserve"> is underdeveloped </w:t>
      </w:r>
      <w:r w:rsidRPr="00C92385">
        <w:rPr>
          <w:rFonts w:cs="Times New Roman"/>
        </w:rPr>
        <w:t xml:space="preserve">in </w:t>
      </w:r>
      <w:r w:rsidR="00F9330B" w:rsidRPr="00C92385">
        <w:rPr>
          <w:rFonts w:cs="Times New Roman"/>
        </w:rPr>
        <w:t>the region and therefore presents investors with huge market</w:t>
      </w:r>
      <w:r w:rsidR="00367639" w:rsidRPr="00C92385">
        <w:rPr>
          <w:rFonts w:cs="Times New Roman"/>
        </w:rPr>
        <w:t>s</w:t>
      </w:r>
      <w:r w:rsidR="00F9330B" w:rsidRPr="00C92385">
        <w:rPr>
          <w:rFonts w:cs="Times New Roman"/>
        </w:rPr>
        <w:t xml:space="preserve"> and profit opportunities. </w:t>
      </w:r>
      <w:r w:rsidR="00DC21E0" w:rsidRPr="00C92385">
        <w:rPr>
          <w:rFonts w:cs="Times New Roman"/>
        </w:rPr>
        <w:t xml:space="preserve">In addition, </w:t>
      </w:r>
      <w:proofErr w:type="spellStart"/>
      <w:r w:rsidRPr="00C92385">
        <w:rPr>
          <w:rFonts w:cs="Times New Roman"/>
        </w:rPr>
        <w:t>Djiofack-Zebaze</w:t>
      </w:r>
      <w:proofErr w:type="spellEnd"/>
      <w:r w:rsidRPr="00C92385">
        <w:rPr>
          <w:rFonts w:cs="Times New Roman"/>
        </w:rPr>
        <w:t xml:space="preserve"> and Keck (2009)</w:t>
      </w:r>
      <w:r w:rsidR="00DC21E0" w:rsidRPr="00C92385">
        <w:rPr>
          <w:rFonts w:cs="Times New Roman"/>
        </w:rPr>
        <w:t>,</w:t>
      </w:r>
      <w:r w:rsidRPr="00C92385">
        <w:rPr>
          <w:rFonts w:cs="Times New Roman"/>
        </w:rPr>
        <w:t xml:space="preserve"> in their study </w:t>
      </w:r>
      <w:r w:rsidR="00DC21E0" w:rsidRPr="00C92385">
        <w:rPr>
          <w:rFonts w:cs="Times New Roman"/>
        </w:rPr>
        <w:t>using a sample of 45 SSA countries, found that foreign participation in various sectors is increasing because most SSA</w:t>
      </w:r>
      <w:r w:rsidRPr="00C92385">
        <w:rPr>
          <w:rFonts w:cs="Times New Roman"/>
        </w:rPr>
        <w:t xml:space="preserve"> countries </w:t>
      </w:r>
      <w:r w:rsidR="00772C0B">
        <w:rPr>
          <w:rFonts w:cs="Times New Roman"/>
        </w:rPr>
        <w:t>were</w:t>
      </w:r>
      <w:r w:rsidR="00DC21E0" w:rsidRPr="00C92385">
        <w:rPr>
          <w:rFonts w:cs="Times New Roman"/>
        </w:rPr>
        <w:t xml:space="preserve"> </w:t>
      </w:r>
      <w:r w:rsidRPr="00C92385">
        <w:rPr>
          <w:rFonts w:cs="Times New Roman"/>
        </w:rPr>
        <w:t>open</w:t>
      </w:r>
      <w:r w:rsidR="00DC21E0" w:rsidRPr="00C92385">
        <w:rPr>
          <w:rFonts w:cs="Times New Roman"/>
        </w:rPr>
        <w:t>ing up their economies t</w:t>
      </w:r>
      <w:r w:rsidRPr="00C92385">
        <w:rPr>
          <w:rFonts w:cs="Times New Roman"/>
        </w:rPr>
        <w:t>hrough liberalization</w:t>
      </w:r>
      <w:r w:rsidR="00772C0B">
        <w:rPr>
          <w:rFonts w:cs="Times New Roman"/>
        </w:rPr>
        <w:t>.</w:t>
      </w:r>
    </w:p>
    <w:p w:rsidR="001E11FB" w:rsidRPr="00C92385" w:rsidRDefault="0047542A" w:rsidP="009F0B36">
      <w:pPr>
        <w:rPr>
          <w:rFonts w:cs="Times New Roman"/>
          <w:b/>
        </w:rPr>
      </w:pPr>
      <w:r w:rsidRPr="00C92385">
        <w:rPr>
          <w:rFonts w:cs="Times New Roman"/>
        </w:rPr>
        <w:t xml:space="preserve"> </w:t>
      </w:r>
      <w:r w:rsidR="00FC1DAF" w:rsidRPr="00C92385">
        <w:rPr>
          <w:rFonts w:cs="Times New Roman"/>
        </w:rPr>
        <w:tab/>
      </w:r>
    </w:p>
    <w:p w:rsidR="0047542A" w:rsidRPr="00C92385" w:rsidRDefault="0047542A" w:rsidP="009F0B36">
      <w:pPr>
        <w:rPr>
          <w:rFonts w:cs="Times New Roman"/>
          <w:b/>
        </w:rPr>
      </w:pPr>
      <w:r w:rsidRPr="00C92385">
        <w:rPr>
          <w:rFonts w:cs="Times New Roman"/>
          <w:b/>
        </w:rPr>
        <w:t>FDI in the Nigerian Telecommunication Industry</w:t>
      </w:r>
    </w:p>
    <w:p w:rsidR="00B600DE" w:rsidRPr="00C92385" w:rsidRDefault="00367639" w:rsidP="000E62C6">
      <w:pPr>
        <w:rPr>
          <w:rFonts w:cs="Times New Roman"/>
        </w:rPr>
      </w:pPr>
      <w:r w:rsidRPr="00C92385">
        <w:rPr>
          <w:rFonts w:cs="Times New Roman"/>
        </w:rPr>
        <w:t xml:space="preserve">The Nigerian telecommunications industry started attracting significant MNE interests when it was liberalized in 2001. This industry is of interest because of the high volume of FDI </w:t>
      </w:r>
      <w:r w:rsidR="002D060B" w:rsidRPr="00C92385">
        <w:rPr>
          <w:rFonts w:cs="Times New Roman"/>
        </w:rPr>
        <w:t xml:space="preserve">it </w:t>
      </w:r>
      <w:r w:rsidRPr="00C92385">
        <w:rPr>
          <w:rFonts w:cs="Times New Roman"/>
        </w:rPr>
        <w:t>is currently attracting. The telecommunications industry is currently Nigeria’s second most important beneficiary of FDI after the extractive oil industry (</w:t>
      </w:r>
      <w:hyperlink r:id="rId9" w:tooltip="Search for Nigeria Oil &amp; Gas Report" w:history="1">
        <w:r w:rsidRPr="00C92385">
          <w:rPr>
            <w:rFonts w:eastAsia="Times New Roman" w:cs="Times New Roman"/>
          </w:rPr>
          <w:t xml:space="preserve">Nigeria </w:t>
        </w:r>
        <w:r w:rsidR="000E62C6">
          <w:rPr>
            <w:rFonts w:eastAsia="Times New Roman" w:cs="Times New Roman"/>
          </w:rPr>
          <w:t>Bureau of Statistics</w:t>
        </w:r>
      </w:hyperlink>
      <w:r w:rsidRPr="00C92385">
        <w:rPr>
          <w:rFonts w:eastAsia="Times New Roman" w:cs="Times New Roman"/>
        </w:rPr>
        <w:t>, 201</w:t>
      </w:r>
      <w:r w:rsidR="000E62C6">
        <w:rPr>
          <w:rFonts w:eastAsia="Times New Roman" w:cs="Times New Roman"/>
        </w:rPr>
        <w:t>3</w:t>
      </w:r>
      <w:r w:rsidRPr="00C92385">
        <w:rPr>
          <w:rFonts w:eastAsia="Times New Roman" w:cs="Times New Roman"/>
        </w:rPr>
        <w:t xml:space="preserve">). </w:t>
      </w:r>
      <w:r w:rsidR="00B600DE" w:rsidRPr="00C92385">
        <w:rPr>
          <w:rFonts w:eastAsia="Times New Roman" w:cs="Times New Roman"/>
        </w:rPr>
        <w:t>Another interesting statistic</w:t>
      </w:r>
      <w:r w:rsidR="006313A4">
        <w:rPr>
          <w:rFonts w:eastAsia="Times New Roman" w:cs="Times New Roman"/>
        </w:rPr>
        <w:t xml:space="preserve"> of</w:t>
      </w:r>
      <w:r w:rsidR="00B600DE" w:rsidRPr="00C92385">
        <w:rPr>
          <w:rFonts w:eastAsia="Times New Roman" w:cs="Times New Roman"/>
        </w:rPr>
        <w:t xml:space="preserve"> the Nigerian telecoms industry is the origin of the FDI in the industry. </w:t>
      </w:r>
      <w:r w:rsidRPr="00C92385">
        <w:rPr>
          <w:rFonts w:eastAsia="Times New Roman" w:cs="Times New Roman"/>
        </w:rPr>
        <w:t>According to the National Communications Commission (NCC</w:t>
      </w:r>
      <w:r w:rsidR="00B600DE" w:rsidRPr="00C92385">
        <w:rPr>
          <w:rFonts w:eastAsia="Times New Roman" w:cs="Times New Roman"/>
        </w:rPr>
        <w:t>, 2013</w:t>
      </w:r>
      <w:r w:rsidRPr="00C92385">
        <w:rPr>
          <w:rFonts w:eastAsia="Times New Roman" w:cs="Times New Roman"/>
        </w:rPr>
        <w:t>),</w:t>
      </w:r>
      <w:r w:rsidRPr="00C92385">
        <w:rPr>
          <w:rFonts w:cs="Times New Roman"/>
        </w:rPr>
        <w:t xml:space="preserve"> over 90 per cent of the FDI stocks in the industry originate from other developing economies</w:t>
      </w:r>
      <w:r w:rsidR="00B600DE" w:rsidRPr="00C92385">
        <w:rPr>
          <w:rFonts w:cs="Times New Roman"/>
        </w:rPr>
        <w:t xml:space="preserve">. </w:t>
      </w:r>
      <w:r w:rsidR="002D060B" w:rsidRPr="00C92385">
        <w:rPr>
          <w:rFonts w:cs="Times New Roman"/>
        </w:rPr>
        <w:t xml:space="preserve">This implies that </w:t>
      </w:r>
      <w:r w:rsidR="00287EF9">
        <w:rPr>
          <w:rFonts w:cs="Times New Roman"/>
        </w:rPr>
        <w:t xml:space="preserve">whilst </w:t>
      </w:r>
      <w:r w:rsidR="00E663DE" w:rsidRPr="00C92385">
        <w:rPr>
          <w:rFonts w:cs="Times New Roman"/>
        </w:rPr>
        <w:t xml:space="preserve">MNEs from </w:t>
      </w:r>
      <w:r w:rsidR="002D060B" w:rsidRPr="00C92385">
        <w:rPr>
          <w:rFonts w:cs="Times New Roman"/>
        </w:rPr>
        <w:t xml:space="preserve">developed </w:t>
      </w:r>
      <w:r w:rsidR="00E663DE" w:rsidRPr="00C92385">
        <w:rPr>
          <w:rFonts w:cs="Times New Roman"/>
        </w:rPr>
        <w:t xml:space="preserve">economies </w:t>
      </w:r>
      <w:r w:rsidR="00287EF9">
        <w:rPr>
          <w:rFonts w:cs="Times New Roman"/>
        </w:rPr>
        <w:t xml:space="preserve">may appear to be </w:t>
      </w:r>
      <w:r w:rsidR="00E663DE" w:rsidRPr="00C92385">
        <w:rPr>
          <w:rFonts w:cs="Times New Roman"/>
        </w:rPr>
        <w:t xml:space="preserve">reluctant to invest in </w:t>
      </w:r>
      <w:r w:rsidR="009C4C52">
        <w:rPr>
          <w:rFonts w:cs="Times New Roman"/>
        </w:rPr>
        <w:t>the sector</w:t>
      </w:r>
      <w:r w:rsidR="00287EF9">
        <w:rPr>
          <w:rFonts w:cs="Times New Roman"/>
        </w:rPr>
        <w:t>, MNEs from developing countries seize the opportunity</w:t>
      </w:r>
      <w:r w:rsidR="00E663DE" w:rsidRPr="00C92385">
        <w:rPr>
          <w:rFonts w:cs="Times New Roman"/>
        </w:rPr>
        <w:t>.</w:t>
      </w:r>
      <w:r w:rsidR="0080031E">
        <w:rPr>
          <w:rFonts w:cs="Times New Roman"/>
        </w:rPr>
        <w:t xml:space="preserve"> This </w:t>
      </w:r>
      <w:r w:rsidR="00287EF9">
        <w:rPr>
          <w:rFonts w:cs="Times New Roman"/>
        </w:rPr>
        <w:t xml:space="preserve">is leading to </w:t>
      </w:r>
      <w:r w:rsidR="0080031E">
        <w:rPr>
          <w:rFonts w:cs="Times New Roman"/>
        </w:rPr>
        <w:t xml:space="preserve">the increasing trend of some emerging economies becoming major </w:t>
      </w:r>
      <w:r w:rsidR="00287EF9">
        <w:rPr>
          <w:rFonts w:cs="Times New Roman"/>
        </w:rPr>
        <w:t xml:space="preserve">FDI </w:t>
      </w:r>
      <w:r w:rsidR="0080031E">
        <w:rPr>
          <w:rFonts w:cs="Times New Roman"/>
        </w:rPr>
        <w:t xml:space="preserve">players in </w:t>
      </w:r>
      <w:r w:rsidR="00287EF9">
        <w:rPr>
          <w:rFonts w:cs="Times New Roman"/>
        </w:rPr>
        <w:t>other developing countries</w:t>
      </w:r>
      <w:r w:rsidR="0080031E">
        <w:rPr>
          <w:rFonts w:cs="Times New Roman"/>
        </w:rPr>
        <w:t>.</w:t>
      </w:r>
      <w:r w:rsidR="00287EF9">
        <w:rPr>
          <w:rFonts w:cs="Times New Roman"/>
        </w:rPr>
        <w:t xml:space="preserve"> </w:t>
      </w:r>
    </w:p>
    <w:p w:rsidR="00367639" w:rsidRDefault="00367639" w:rsidP="000E62C6">
      <w:pPr>
        <w:ind w:firstLine="720"/>
        <w:rPr>
          <w:rFonts w:cs="Times New Roman"/>
        </w:rPr>
      </w:pPr>
      <w:r w:rsidRPr="00C92385">
        <w:rPr>
          <w:rFonts w:cs="Times New Roman"/>
        </w:rPr>
        <w:t>Th</w:t>
      </w:r>
      <w:r w:rsidR="00B600DE" w:rsidRPr="00C92385">
        <w:rPr>
          <w:rFonts w:cs="Times New Roman"/>
        </w:rPr>
        <w:t>is</w:t>
      </w:r>
      <w:r w:rsidRPr="00C92385">
        <w:rPr>
          <w:rFonts w:cs="Times New Roman"/>
        </w:rPr>
        <w:t xml:space="preserve"> study will focus on the ten year period between 2002 and 2011. The base year 2002 is chosen because of the significance of the year in the history of FDI in the Nigerian telecommunications industry and year 2011 chosen as the end year as the latest available data on the FDI flows in both World Bank and Nigeria Bureau of Statistics databases was that of 2011. Year 2002 is the year immediately after the liberalization of the telecommunications industry in Nigeria. Following the re</w:t>
      </w:r>
      <w:r w:rsidR="00E663DE" w:rsidRPr="00C92385">
        <w:rPr>
          <w:rFonts w:cs="Times New Roman"/>
        </w:rPr>
        <w:t>-</w:t>
      </w:r>
      <w:r w:rsidRPr="00C92385">
        <w:rPr>
          <w:rFonts w:cs="Times New Roman"/>
        </w:rPr>
        <w:t xml:space="preserve">introduction of civilian democratic rule in Nigeria in 1999, the new civilian administration decided to liberalize the government controlled telecommunications industry. This led to the auctioning of Global System for Mobile (GSM) licences in 2001. Two of the three licenses were won by multinational telecommunications companies </w:t>
      </w:r>
      <w:r w:rsidR="008D5139" w:rsidRPr="00C92385">
        <w:rPr>
          <w:rFonts w:cs="Times New Roman"/>
          <w:lang w:val="en-US"/>
        </w:rPr>
        <w:t xml:space="preserve">– South African based MTN and </w:t>
      </w:r>
      <w:proofErr w:type="spellStart"/>
      <w:r w:rsidR="008D5139" w:rsidRPr="00C92385">
        <w:rPr>
          <w:rFonts w:cs="Times New Roman"/>
          <w:lang w:val="en-US"/>
        </w:rPr>
        <w:t>Econet</w:t>
      </w:r>
      <w:proofErr w:type="spellEnd"/>
      <w:r w:rsidR="008D5139" w:rsidRPr="00C92385">
        <w:rPr>
          <w:rFonts w:cs="Times New Roman"/>
          <w:lang w:val="en-US"/>
        </w:rPr>
        <w:t xml:space="preserve"> Wireless of Zimbabwe</w:t>
      </w:r>
      <w:r w:rsidR="006313A4">
        <w:rPr>
          <w:rFonts w:cs="Times New Roman"/>
          <w:lang w:val="en-US"/>
        </w:rPr>
        <w:t xml:space="preserve">. Payment </w:t>
      </w:r>
      <w:r w:rsidRPr="00C92385">
        <w:rPr>
          <w:rFonts w:cs="Times New Roman"/>
        </w:rPr>
        <w:t>for the licenses</w:t>
      </w:r>
      <w:r w:rsidR="006313A4">
        <w:rPr>
          <w:rFonts w:cs="Times New Roman"/>
        </w:rPr>
        <w:t>,</w:t>
      </w:r>
      <w:r w:rsidRPr="00C92385">
        <w:rPr>
          <w:rFonts w:cs="Times New Roman"/>
        </w:rPr>
        <w:t xml:space="preserve"> which cost $285 million each</w:t>
      </w:r>
      <w:r w:rsidR="006313A4">
        <w:rPr>
          <w:rFonts w:cs="Times New Roman"/>
        </w:rPr>
        <w:t>,</w:t>
      </w:r>
      <w:r w:rsidRPr="00C92385">
        <w:rPr>
          <w:rFonts w:cs="Times New Roman"/>
        </w:rPr>
        <w:t xml:space="preserve"> ushered in a new phase of foreign investments into the Nigerian </w:t>
      </w:r>
      <w:r w:rsidRPr="00C92385">
        <w:rPr>
          <w:rFonts w:cs="Times New Roman"/>
        </w:rPr>
        <w:lastRenderedPageBreak/>
        <w:t>telecommunications industry. Prior to the auction, over 85 per cent of the industry was controlled by the government owned Nigerian Telecommunications Limited (</w:t>
      </w:r>
      <w:proofErr w:type="spellStart"/>
      <w:r w:rsidRPr="00C92385">
        <w:rPr>
          <w:rFonts w:cs="Times New Roman"/>
        </w:rPr>
        <w:t>Nitel</w:t>
      </w:r>
      <w:proofErr w:type="spellEnd"/>
      <w:r w:rsidRPr="00C92385">
        <w:rPr>
          <w:rFonts w:cs="Times New Roman"/>
        </w:rPr>
        <w:t xml:space="preserve">) (NCC, 2013). The auction year (2001) witnessed an unprecedented net FDI inflow totalling $970 million </w:t>
      </w:r>
      <w:r w:rsidR="000B6850" w:rsidRPr="00C92385">
        <w:rPr>
          <w:rFonts w:cs="Times New Roman"/>
        </w:rPr>
        <w:t>and representing</w:t>
      </w:r>
      <w:r w:rsidRPr="00C92385">
        <w:rPr>
          <w:rFonts w:cs="Times New Roman"/>
        </w:rPr>
        <w:t xml:space="preserve"> 1181.37 per cent increase over the previous year (2000) net inflows of $75.7 millio</w:t>
      </w:r>
      <w:r w:rsidR="000E62C6">
        <w:rPr>
          <w:rFonts w:cs="Times New Roman"/>
        </w:rPr>
        <w:t>n (Nigeria Bureau of Statistics</w:t>
      </w:r>
      <w:r w:rsidRPr="00C92385">
        <w:rPr>
          <w:rFonts w:cs="Times New Roman"/>
        </w:rPr>
        <w:t>, 2013).</w:t>
      </w:r>
    </w:p>
    <w:p w:rsidR="002607C0" w:rsidRDefault="002607C0" w:rsidP="00736D12">
      <w:pPr>
        <w:ind w:firstLine="720"/>
        <w:rPr>
          <w:rFonts w:cs="Times New Roman"/>
          <w:lang w:val="en-US"/>
        </w:rPr>
      </w:pPr>
      <w:r w:rsidRPr="00C92385">
        <w:rPr>
          <w:rFonts w:cs="Times New Roman"/>
          <w:lang w:val="en-US"/>
        </w:rPr>
        <w:t>Nigerian Telecommunications Ltd (</w:t>
      </w:r>
      <w:proofErr w:type="spellStart"/>
      <w:r w:rsidRPr="00C92385">
        <w:rPr>
          <w:rFonts w:cs="Times New Roman"/>
          <w:lang w:val="en-US"/>
        </w:rPr>
        <w:t>Nitel</w:t>
      </w:r>
      <w:proofErr w:type="spellEnd"/>
      <w:r w:rsidRPr="00C92385">
        <w:rPr>
          <w:rFonts w:cs="Times New Roman"/>
          <w:lang w:val="en-US"/>
        </w:rPr>
        <w:t>) monopoly was broken</w:t>
      </w:r>
      <w:r w:rsidR="007A4BD9">
        <w:rPr>
          <w:rFonts w:cs="Times New Roman"/>
          <w:lang w:val="en-US"/>
        </w:rPr>
        <w:t xml:space="preserve"> up</w:t>
      </w:r>
      <w:r w:rsidRPr="00C92385">
        <w:rPr>
          <w:rFonts w:cs="Times New Roman"/>
          <w:lang w:val="en-US"/>
        </w:rPr>
        <w:t xml:space="preserve"> in 2001 when the Nigerian government liberalized the telecommunications industry by the introduction of GSM technology through the offering of three licenses by competitive bidding. According to the NCC (2013), the Nigerian telecommunications sphere is dominated by mobile telecommunications technology. Mobile telecommunications currently account for 99.67 per cent of all telephone facilities in the country with GSM technology dominating with over 97 per cent. The share of fixed (wired/wireless) is a negligible 0.33 per cent </w:t>
      </w:r>
      <w:r w:rsidR="001C422B">
        <w:rPr>
          <w:rFonts w:cs="Times New Roman"/>
          <w:lang w:val="en-US"/>
        </w:rPr>
        <w:t>as shown in T</w:t>
      </w:r>
      <w:r>
        <w:rPr>
          <w:rFonts w:cs="Times New Roman"/>
          <w:lang w:val="en-US"/>
        </w:rPr>
        <w:t xml:space="preserve">able </w:t>
      </w:r>
      <w:r w:rsidRPr="00C92385">
        <w:rPr>
          <w:rFonts w:cs="Times New Roman"/>
          <w:lang w:val="en-US"/>
        </w:rPr>
        <w:t>1.</w:t>
      </w:r>
      <w:r>
        <w:rPr>
          <w:rFonts w:cs="Times New Roman"/>
          <w:lang w:val="en-US"/>
        </w:rPr>
        <w:t xml:space="preserve"> </w:t>
      </w:r>
    </w:p>
    <w:p w:rsidR="00736D12" w:rsidRPr="00B17ED1" w:rsidRDefault="00736D12" w:rsidP="00736D12">
      <w:pPr>
        <w:ind w:firstLine="720"/>
        <w:rPr>
          <w:rFonts w:cs="Times New Roman"/>
          <w:sz w:val="20"/>
          <w:szCs w:val="20"/>
          <w:lang w:val="en-US"/>
        </w:rPr>
      </w:pPr>
    </w:p>
    <w:p w:rsidR="0047542A" w:rsidRPr="00736D12" w:rsidRDefault="00222A85" w:rsidP="00B108CE">
      <w:pPr>
        <w:rPr>
          <w:rFonts w:cs="Times New Roman"/>
          <w:b/>
          <w:sz w:val="22"/>
          <w:szCs w:val="22"/>
        </w:rPr>
      </w:pPr>
      <w:r w:rsidRPr="00736D12">
        <w:rPr>
          <w:rFonts w:cs="Times New Roman"/>
          <w:b/>
          <w:sz w:val="22"/>
          <w:szCs w:val="22"/>
        </w:rPr>
        <w:t>T</w:t>
      </w:r>
      <w:r w:rsidR="009C4D67" w:rsidRPr="00736D12">
        <w:rPr>
          <w:rFonts w:cs="Times New Roman"/>
          <w:b/>
          <w:sz w:val="22"/>
          <w:szCs w:val="22"/>
        </w:rPr>
        <w:t>ABLE</w:t>
      </w:r>
      <w:r w:rsidRPr="00736D12">
        <w:rPr>
          <w:rFonts w:cs="Times New Roman"/>
          <w:b/>
          <w:sz w:val="22"/>
          <w:szCs w:val="22"/>
        </w:rPr>
        <w:t xml:space="preserve"> 1</w:t>
      </w:r>
      <w:r w:rsidR="001E11FB" w:rsidRPr="00736D12">
        <w:rPr>
          <w:rFonts w:cs="Times New Roman"/>
          <w:b/>
          <w:sz w:val="22"/>
          <w:szCs w:val="22"/>
        </w:rPr>
        <w:t xml:space="preserve">: </w:t>
      </w:r>
      <w:r w:rsidR="007572C5" w:rsidRPr="00736D12">
        <w:rPr>
          <w:rFonts w:cs="Times New Roman"/>
          <w:b/>
          <w:sz w:val="22"/>
          <w:szCs w:val="22"/>
        </w:rPr>
        <w:t xml:space="preserve">Nigerian Market Share by Telecommunications Technology </w:t>
      </w:r>
      <w:r w:rsidR="00624C2A" w:rsidRPr="00736D12">
        <w:rPr>
          <w:rFonts w:cs="Times New Roman"/>
          <w:b/>
          <w:sz w:val="22"/>
          <w:szCs w:val="22"/>
        </w:rPr>
        <w:t>(June 2013)</w:t>
      </w:r>
      <w:r w:rsidR="0047542A" w:rsidRPr="00736D12">
        <w:rPr>
          <w:rFonts w:cs="Times New Roman"/>
          <w:b/>
          <w:sz w:val="22"/>
          <w:szCs w:val="22"/>
        </w:rPr>
        <w:t xml:space="preserve"> </w:t>
      </w:r>
      <w:r w:rsidR="0047542A" w:rsidRPr="00736D12">
        <w:rPr>
          <w:rFonts w:cs="Times New Roman"/>
          <w:b/>
          <w:sz w:val="22"/>
          <w:szCs w:val="22"/>
        </w:rPr>
        <w:tab/>
      </w:r>
    </w:p>
    <w:tbl>
      <w:tblPr>
        <w:tblStyle w:val="TableGrid"/>
        <w:tblW w:w="0" w:type="auto"/>
        <w:tblLook w:val="04A0" w:firstRow="1" w:lastRow="0" w:firstColumn="1" w:lastColumn="0" w:noHBand="0" w:noVBand="1"/>
      </w:tblPr>
      <w:tblGrid>
        <w:gridCol w:w="4788"/>
        <w:gridCol w:w="4788"/>
      </w:tblGrid>
      <w:tr w:rsidR="00222A85" w:rsidRPr="00C92385" w:rsidTr="00222A85">
        <w:tc>
          <w:tcPr>
            <w:tcW w:w="4788" w:type="dxa"/>
          </w:tcPr>
          <w:p w:rsidR="00222A85" w:rsidRPr="00736D12" w:rsidRDefault="00222A85" w:rsidP="00B108CE">
            <w:pPr>
              <w:rPr>
                <w:rFonts w:cs="Times New Roman"/>
                <w:sz w:val="20"/>
                <w:szCs w:val="20"/>
              </w:rPr>
            </w:pPr>
            <w:r w:rsidRPr="00736D12">
              <w:rPr>
                <w:rFonts w:cs="Times New Roman"/>
                <w:sz w:val="20"/>
                <w:szCs w:val="20"/>
              </w:rPr>
              <w:t>Telecommunications Technology</w:t>
            </w:r>
          </w:p>
        </w:tc>
        <w:tc>
          <w:tcPr>
            <w:tcW w:w="4788" w:type="dxa"/>
          </w:tcPr>
          <w:p w:rsidR="00222A85" w:rsidRPr="00736D12" w:rsidRDefault="00222A85" w:rsidP="00B108CE">
            <w:pPr>
              <w:rPr>
                <w:rFonts w:cs="Times New Roman"/>
                <w:sz w:val="20"/>
                <w:szCs w:val="20"/>
              </w:rPr>
            </w:pPr>
            <w:r w:rsidRPr="00736D12">
              <w:rPr>
                <w:rFonts w:cs="Times New Roman"/>
                <w:sz w:val="20"/>
                <w:szCs w:val="20"/>
              </w:rPr>
              <w:t>Percentage Market Share</w:t>
            </w:r>
          </w:p>
        </w:tc>
      </w:tr>
      <w:tr w:rsidR="00222A85" w:rsidRPr="00C92385" w:rsidTr="00222A85">
        <w:tc>
          <w:tcPr>
            <w:tcW w:w="4788" w:type="dxa"/>
          </w:tcPr>
          <w:p w:rsidR="00222A85" w:rsidRPr="00736D12" w:rsidRDefault="00222A85" w:rsidP="00B108CE">
            <w:pPr>
              <w:rPr>
                <w:rFonts w:cs="Times New Roman"/>
                <w:sz w:val="20"/>
                <w:szCs w:val="20"/>
              </w:rPr>
            </w:pPr>
            <w:r w:rsidRPr="00736D12">
              <w:rPr>
                <w:rFonts w:cs="Times New Roman"/>
                <w:sz w:val="20"/>
                <w:szCs w:val="20"/>
              </w:rPr>
              <w:t>Mobile (GSM)</w:t>
            </w:r>
          </w:p>
        </w:tc>
        <w:tc>
          <w:tcPr>
            <w:tcW w:w="4788" w:type="dxa"/>
          </w:tcPr>
          <w:p w:rsidR="00222A85" w:rsidRPr="00736D12" w:rsidRDefault="00222A85" w:rsidP="00624C2A">
            <w:pPr>
              <w:rPr>
                <w:rFonts w:cs="Times New Roman"/>
                <w:sz w:val="20"/>
                <w:szCs w:val="20"/>
              </w:rPr>
            </w:pPr>
            <w:r w:rsidRPr="00736D12">
              <w:rPr>
                <w:rFonts w:cs="Times New Roman"/>
                <w:sz w:val="20"/>
                <w:szCs w:val="20"/>
              </w:rPr>
              <w:t>97.4</w:t>
            </w:r>
            <w:r w:rsidR="00624C2A" w:rsidRPr="00736D12">
              <w:rPr>
                <w:rFonts w:cs="Times New Roman"/>
                <w:sz w:val="20"/>
                <w:szCs w:val="20"/>
              </w:rPr>
              <w:t>7</w:t>
            </w:r>
            <w:r w:rsidRPr="00736D12">
              <w:rPr>
                <w:rFonts w:cs="Times New Roman"/>
                <w:sz w:val="20"/>
                <w:szCs w:val="20"/>
              </w:rPr>
              <w:t>%</w:t>
            </w:r>
          </w:p>
        </w:tc>
      </w:tr>
      <w:tr w:rsidR="00222A85" w:rsidRPr="00C92385" w:rsidTr="00222A85">
        <w:tc>
          <w:tcPr>
            <w:tcW w:w="4788" w:type="dxa"/>
          </w:tcPr>
          <w:p w:rsidR="00222A85" w:rsidRPr="00736D12" w:rsidRDefault="00222A85" w:rsidP="00B108CE">
            <w:pPr>
              <w:rPr>
                <w:rFonts w:cs="Times New Roman"/>
                <w:sz w:val="20"/>
                <w:szCs w:val="20"/>
              </w:rPr>
            </w:pPr>
            <w:r w:rsidRPr="00736D12">
              <w:rPr>
                <w:rFonts w:cs="Times New Roman"/>
                <w:sz w:val="20"/>
                <w:szCs w:val="20"/>
              </w:rPr>
              <w:t>Mobile (CDMA)</w:t>
            </w:r>
          </w:p>
        </w:tc>
        <w:tc>
          <w:tcPr>
            <w:tcW w:w="4788" w:type="dxa"/>
          </w:tcPr>
          <w:p w:rsidR="00222A85" w:rsidRPr="00736D12" w:rsidRDefault="00222A85" w:rsidP="00B108CE">
            <w:pPr>
              <w:rPr>
                <w:rFonts w:cs="Times New Roman"/>
                <w:sz w:val="20"/>
                <w:szCs w:val="20"/>
              </w:rPr>
            </w:pPr>
            <w:r w:rsidRPr="00736D12">
              <w:rPr>
                <w:rFonts w:cs="Times New Roman"/>
                <w:sz w:val="20"/>
                <w:szCs w:val="20"/>
              </w:rPr>
              <w:t>2.20%</w:t>
            </w:r>
          </w:p>
        </w:tc>
      </w:tr>
      <w:tr w:rsidR="00222A85" w:rsidRPr="00C92385" w:rsidTr="00222A85">
        <w:tc>
          <w:tcPr>
            <w:tcW w:w="4788" w:type="dxa"/>
          </w:tcPr>
          <w:p w:rsidR="00222A85" w:rsidRPr="00736D12" w:rsidRDefault="00222A85" w:rsidP="00B108CE">
            <w:pPr>
              <w:rPr>
                <w:rFonts w:cs="Times New Roman"/>
                <w:sz w:val="20"/>
                <w:szCs w:val="20"/>
              </w:rPr>
            </w:pPr>
            <w:r w:rsidRPr="00736D12">
              <w:rPr>
                <w:rFonts w:cs="Times New Roman"/>
                <w:sz w:val="20"/>
                <w:szCs w:val="20"/>
              </w:rPr>
              <w:t>Fixed (Wired/Wireless)</w:t>
            </w:r>
          </w:p>
        </w:tc>
        <w:tc>
          <w:tcPr>
            <w:tcW w:w="4788" w:type="dxa"/>
          </w:tcPr>
          <w:p w:rsidR="00222A85" w:rsidRPr="00736D12" w:rsidRDefault="00222A85" w:rsidP="00B108CE">
            <w:pPr>
              <w:rPr>
                <w:rFonts w:cs="Times New Roman"/>
                <w:sz w:val="20"/>
                <w:szCs w:val="20"/>
              </w:rPr>
            </w:pPr>
            <w:r w:rsidRPr="00736D12">
              <w:rPr>
                <w:rFonts w:cs="Times New Roman"/>
                <w:sz w:val="20"/>
                <w:szCs w:val="20"/>
              </w:rPr>
              <w:t>0.33%</w:t>
            </w:r>
          </w:p>
        </w:tc>
      </w:tr>
    </w:tbl>
    <w:p w:rsidR="002607C0" w:rsidRDefault="00624C2A" w:rsidP="002607C0">
      <w:pPr>
        <w:rPr>
          <w:rFonts w:cs="Times New Roman"/>
          <w:sz w:val="20"/>
          <w:szCs w:val="20"/>
        </w:rPr>
      </w:pPr>
      <w:r w:rsidRPr="00736D12">
        <w:rPr>
          <w:rFonts w:cs="Times New Roman"/>
          <w:sz w:val="20"/>
          <w:szCs w:val="20"/>
        </w:rPr>
        <w:t>Source: NCC (2013)</w:t>
      </w:r>
    </w:p>
    <w:p w:rsidR="00736D12" w:rsidRPr="00B17ED1" w:rsidRDefault="00736D12" w:rsidP="002607C0">
      <w:pPr>
        <w:rPr>
          <w:rFonts w:cs="Times New Roman"/>
          <w:sz w:val="20"/>
          <w:szCs w:val="20"/>
        </w:rPr>
      </w:pPr>
    </w:p>
    <w:p w:rsidR="0047542A" w:rsidRPr="00736D12" w:rsidRDefault="00624C2A" w:rsidP="00222A85">
      <w:pPr>
        <w:rPr>
          <w:rFonts w:cs="Times New Roman"/>
          <w:b/>
          <w:sz w:val="22"/>
          <w:szCs w:val="22"/>
        </w:rPr>
      </w:pPr>
      <w:r w:rsidRPr="00736D12">
        <w:rPr>
          <w:rFonts w:cs="Times New Roman"/>
          <w:b/>
          <w:sz w:val="22"/>
          <w:szCs w:val="22"/>
        </w:rPr>
        <w:t>T</w:t>
      </w:r>
      <w:r w:rsidR="009C4D67" w:rsidRPr="00736D12">
        <w:rPr>
          <w:rFonts w:cs="Times New Roman"/>
          <w:b/>
          <w:sz w:val="22"/>
          <w:szCs w:val="22"/>
        </w:rPr>
        <w:t>ABLE</w:t>
      </w:r>
      <w:r w:rsidRPr="00736D12">
        <w:rPr>
          <w:rFonts w:cs="Times New Roman"/>
          <w:b/>
          <w:sz w:val="22"/>
          <w:szCs w:val="22"/>
        </w:rPr>
        <w:t xml:space="preserve"> </w:t>
      </w:r>
      <w:r w:rsidR="0047542A" w:rsidRPr="00736D12">
        <w:rPr>
          <w:rFonts w:cs="Times New Roman"/>
          <w:b/>
          <w:sz w:val="22"/>
          <w:szCs w:val="22"/>
        </w:rPr>
        <w:t>2</w:t>
      </w:r>
      <w:r w:rsidRPr="00736D12">
        <w:rPr>
          <w:rFonts w:cs="Times New Roman"/>
          <w:b/>
          <w:sz w:val="22"/>
          <w:szCs w:val="22"/>
        </w:rPr>
        <w:t xml:space="preserve">: </w:t>
      </w:r>
      <w:r w:rsidR="007572C5" w:rsidRPr="00736D12">
        <w:rPr>
          <w:rFonts w:cs="Times New Roman"/>
          <w:b/>
          <w:sz w:val="22"/>
          <w:szCs w:val="22"/>
        </w:rPr>
        <w:t xml:space="preserve">Nigerian Mobile Telecommunications </w:t>
      </w:r>
      <w:r w:rsidR="0047542A" w:rsidRPr="00736D12">
        <w:rPr>
          <w:rFonts w:cs="Times New Roman"/>
          <w:b/>
          <w:sz w:val="22"/>
          <w:szCs w:val="22"/>
        </w:rPr>
        <w:t xml:space="preserve">Market Share by Operators </w:t>
      </w:r>
      <w:r w:rsidR="007572C5" w:rsidRPr="00736D12">
        <w:rPr>
          <w:rFonts w:cs="Times New Roman"/>
          <w:b/>
          <w:sz w:val="22"/>
          <w:szCs w:val="22"/>
        </w:rPr>
        <w:t>(</w:t>
      </w:r>
      <w:r w:rsidR="0047542A" w:rsidRPr="00736D12">
        <w:rPr>
          <w:rFonts w:cs="Times New Roman"/>
          <w:b/>
          <w:sz w:val="22"/>
          <w:szCs w:val="22"/>
        </w:rPr>
        <w:t>June 2013</w:t>
      </w:r>
      <w:r w:rsidR="007572C5" w:rsidRPr="00736D12">
        <w:rPr>
          <w:rFonts w:cs="Times New Roman"/>
          <w:b/>
          <w:sz w:val="22"/>
          <w:szCs w:val="22"/>
        </w:rPr>
        <w:t>)</w:t>
      </w:r>
    </w:p>
    <w:tbl>
      <w:tblPr>
        <w:tblStyle w:val="TableGrid"/>
        <w:tblW w:w="0" w:type="auto"/>
        <w:tblLook w:val="04A0" w:firstRow="1" w:lastRow="0" w:firstColumn="1" w:lastColumn="0" w:noHBand="0" w:noVBand="1"/>
      </w:tblPr>
      <w:tblGrid>
        <w:gridCol w:w="3192"/>
        <w:gridCol w:w="3192"/>
        <w:gridCol w:w="3192"/>
      </w:tblGrid>
      <w:tr w:rsidR="007572C5" w:rsidRPr="00C92385" w:rsidTr="007572C5">
        <w:tc>
          <w:tcPr>
            <w:tcW w:w="3192" w:type="dxa"/>
          </w:tcPr>
          <w:p w:rsidR="007572C5" w:rsidRPr="00C92385" w:rsidRDefault="007572C5" w:rsidP="00222A85">
            <w:pPr>
              <w:rPr>
                <w:rFonts w:cs="Times New Roman"/>
                <w:b/>
              </w:rPr>
            </w:pPr>
            <w:r w:rsidRPr="00C92385">
              <w:rPr>
                <w:rFonts w:cs="Times New Roman"/>
                <w:b/>
              </w:rPr>
              <w:t xml:space="preserve">Operator </w:t>
            </w:r>
          </w:p>
        </w:tc>
        <w:tc>
          <w:tcPr>
            <w:tcW w:w="3192" w:type="dxa"/>
          </w:tcPr>
          <w:p w:rsidR="007572C5" w:rsidRPr="00C92385" w:rsidRDefault="007572C5" w:rsidP="00222A85">
            <w:pPr>
              <w:rPr>
                <w:rFonts w:cs="Times New Roman"/>
                <w:b/>
              </w:rPr>
            </w:pPr>
            <w:r w:rsidRPr="00C92385">
              <w:rPr>
                <w:rFonts w:cs="Times New Roman"/>
                <w:b/>
              </w:rPr>
              <w:t>Number of Subscribers</w:t>
            </w:r>
          </w:p>
        </w:tc>
        <w:tc>
          <w:tcPr>
            <w:tcW w:w="3192" w:type="dxa"/>
          </w:tcPr>
          <w:p w:rsidR="007572C5" w:rsidRPr="00C92385" w:rsidRDefault="007572C5" w:rsidP="00222A85">
            <w:pPr>
              <w:rPr>
                <w:rFonts w:cs="Times New Roman"/>
                <w:b/>
              </w:rPr>
            </w:pPr>
            <w:r w:rsidRPr="00C92385">
              <w:rPr>
                <w:rFonts w:cs="Times New Roman"/>
                <w:b/>
              </w:rPr>
              <w:t>Percentage Market Share</w:t>
            </w:r>
          </w:p>
        </w:tc>
      </w:tr>
      <w:tr w:rsidR="007572C5" w:rsidRPr="00C92385" w:rsidTr="007572C5">
        <w:tc>
          <w:tcPr>
            <w:tcW w:w="3192" w:type="dxa"/>
          </w:tcPr>
          <w:p w:rsidR="007572C5" w:rsidRPr="00736D12" w:rsidRDefault="007572C5" w:rsidP="00222A85">
            <w:pPr>
              <w:rPr>
                <w:rFonts w:cs="Times New Roman"/>
                <w:sz w:val="20"/>
                <w:szCs w:val="20"/>
              </w:rPr>
            </w:pPr>
            <w:r w:rsidRPr="00736D12">
              <w:rPr>
                <w:rFonts w:cs="Times New Roman"/>
                <w:sz w:val="20"/>
                <w:szCs w:val="20"/>
              </w:rPr>
              <w:t>MTN</w:t>
            </w:r>
          </w:p>
        </w:tc>
        <w:tc>
          <w:tcPr>
            <w:tcW w:w="3192" w:type="dxa"/>
          </w:tcPr>
          <w:p w:rsidR="007572C5" w:rsidRPr="00736D12" w:rsidRDefault="007572C5" w:rsidP="00222A85">
            <w:pPr>
              <w:rPr>
                <w:rFonts w:cs="Times New Roman"/>
                <w:sz w:val="20"/>
                <w:szCs w:val="20"/>
              </w:rPr>
            </w:pPr>
            <w:r w:rsidRPr="00736D12">
              <w:rPr>
                <w:rFonts w:cs="Times New Roman"/>
                <w:sz w:val="20"/>
                <w:szCs w:val="20"/>
              </w:rPr>
              <w:t>55,238,430</w:t>
            </w:r>
          </w:p>
        </w:tc>
        <w:tc>
          <w:tcPr>
            <w:tcW w:w="3192" w:type="dxa"/>
          </w:tcPr>
          <w:p w:rsidR="007572C5" w:rsidRPr="00736D12" w:rsidRDefault="007572C5" w:rsidP="00AE208C">
            <w:pPr>
              <w:rPr>
                <w:rFonts w:cs="Times New Roman"/>
                <w:sz w:val="20"/>
                <w:szCs w:val="20"/>
              </w:rPr>
            </w:pPr>
            <w:r w:rsidRPr="00736D12">
              <w:rPr>
                <w:rFonts w:cs="Times New Roman"/>
                <w:sz w:val="20"/>
                <w:szCs w:val="20"/>
              </w:rPr>
              <w:t>47</w:t>
            </w:r>
            <w:r w:rsidR="00557346" w:rsidRPr="00736D12">
              <w:rPr>
                <w:rFonts w:cs="Times New Roman"/>
                <w:sz w:val="20"/>
                <w:szCs w:val="20"/>
              </w:rPr>
              <w:t>.0</w:t>
            </w:r>
            <w:r w:rsidR="00AE208C" w:rsidRPr="00736D12">
              <w:rPr>
                <w:rFonts w:cs="Times New Roman"/>
                <w:sz w:val="20"/>
                <w:szCs w:val="20"/>
              </w:rPr>
              <w:t>5</w:t>
            </w:r>
            <w:r w:rsidRPr="00736D12">
              <w:rPr>
                <w:rFonts w:cs="Times New Roman"/>
                <w:sz w:val="20"/>
                <w:szCs w:val="20"/>
              </w:rPr>
              <w:t>%</w:t>
            </w:r>
          </w:p>
        </w:tc>
      </w:tr>
      <w:tr w:rsidR="007572C5" w:rsidRPr="00C92385" w:rsidTr="007572C5">
        <w:tc>
          <w:tcPr>
            <w:tcW w:w="3192" w:type="dxa"/>
          </w:tcPr>
          <w:p w:rsidR="007572C5" w:rsidRPr="00736D12" w:rsidRDefault="007572C5" w:rsidP="00222A85">
            <w:pPr>
              <w:rPr>
                <w:rFonts w:cs="Times New Roman"/>
                <w:sz w:val="20"/>
                <w:szCs w:val="20"/>
              </w:rPr>
            </w:pPr>
            <w:proofErr w:type="spellStart"/>
            <w:r w:rsidRPr="00736D12">
              <w:rPr>
                <w:rFonts w:cs="Times New Roman"/>
                <w:sz w:val="20"/>
                <w:szCs w:val="20"/>
              </w:rPr>
              <w:t>Globacom</w:t>
            </w:r>
            <w:proofErr w:type="spellEnd"/>
          </w:p>
        </w:tc>
        <w:tc>
          <w:tcPr>
            <w:tcW w:w="3192" w:type="dxa"/>
          </w:tcPr>
          <w:p w:rsidR="007572C5" w:rsidRPr="00736D12" w:rsidRDefault="007572C5" w:rsidP="00222A85">
            <w:pPr>
              <w:rPr>
                <w:rFonts w:cs="Times New Roman"/>
                <w:sz w:val="20"/>
                <w:szCs w:val="20"/>
              </w:rPr>
            </w:pPr>
            <w:r w:rsidRPr="00736D12">
              <w:rPr>
                <w:rFonts w:cs="Times New Roman"/>
                <w:sz w:val="20"/>
                <w:szCs w:val="20"/>
              </w:rPr>
              <w:t>25,019,862</w:t>
            </w:r>
          </w:p>
        </w:tc>
        <w:tc>
          <w:tcPr>
            <w:tcW w:w="3192" w:type="dxa"/>
          </w:tcPr>
          <w:p w:rsidR="007572C5" w:rsidRPr="00736D12" w:rsidRDefault="007572C5" w:rsidP="00AE208C">
            <w:pPr>
              <w:rPr>
                <w:rFonts w:cs="Times New Roman"/>
                <w:sz w:val="20"/>
                <w:szCs w:val="20"/>
              </w:rPr>
            </w:pPr>
            <w:r w:rsidRPr="00736D12">
              <w:rPr>
                <w:rFonts w:cs="Times New Roman"/>
                <w:sz w:val="20"/>
                <w:szCs w:val="20"/>
              </w:rPr>
              <w:t>21</w:t>
            </w:r>
            <w:r w:rsidR="00557346" w:rsidRPr="00736D12">
              <w:rPr>
                <w:rFonts w:cs="Times New Roman"/>
                <w:sz w:val="20"/>
                <w:szCs w:val="20"/>
              </w:rPr>
              <w:t>.3</w:t>
            </w:r>
            <w:r w:rsidR="00AE208C" w:rsidRPr="00736D12">
              <w:rPr>
                <w:rFonts w:cs="Times New Roman"/>
                <w:sz w:val="20"/>
                <w:szCs w:val="20"/>
              </w:rPr>
              <w:t>1</w:t>
            </w:r>
            <w:r w:rsidRPr="00736D12">
              <w:rPr>
                <w:rFonts w:cs="Times New Roman"/>
                <w:sz w:val="20"/>
                <w:szCs w:val="20"/>
              </w:rPr>
              <w:t>%</w:t>
            </w:r>
          </w:p>
        </w:tc>
      </w:tr>
      <w:tr w:rsidR="007572C5" w:rsidRPr="00C92385" w:rsidTr="007572C5">
        <w:tc>
          <w:tcPr>
            <w:tcW w:w="3192" w:type="dxa"/>
          </w:tcPr>
          <w:p w:rsidR="007572C5" w:rsidRPr="00736D12" w:rsidRDefault="007572C5" w:rsidP="00222A85">
            <w:pPr>
              <w:rPr>
                <w:rFonts w:cs="Times New Roman"/>
                <w:sz w:val="20"/>
                <w:szCs w:val="20"/>
              </w:rPr>
            </w:pPr>
            <w:r w:rsidRPr="00736D12">
              <w:rPr>
                <w:rFonts w:cs="Times New Roman"/>
                <w:sz w:val="20"/>
                <w:szCs w:val="20"/>
              </w:rPr>
              <w:t>Airtel</w:t>
            </w:r>
          </w:p>
        </w:tc>
        <w:tc>
          <w:tcPr>
            <w:tcW w:w="3192" w:type="dxa"/>
          </w:tcPr>
          <w:p w:rsidR="007572C5" w:rsidRPr="00736D12" w:rsidRDefault="007572C5" w:rsidP="00222A85">
            <w:pPr>
              <w:rPr>
                <w:rFonts w:cs="Times New Roman"/>
                <w:sz w:val="20"/>
                <w:szCs w:val="20"/>
              </w:rPr>
            </w:pPr>
            <w:r w:rsidRPr="00736D12">
              <w:rPr>
                <w:rFonts w:cs="Times New Roman"/>
                <w:sz w:val="20"/>
                <w:szCs w:val="20"/>
              </w:rPr>
              <w:t>21,591,904</w:t>
            </w:r>
          </w:p>
        </w:tc>
        <w:tc>
          <w:tcPr>
            <w:tcW w:w="3192" w:type="dxa"/>
          </w:tcPr>
          <w:p w:rsidR="007572C5" w:rsidRPr="00736D12" w:rsidRDefault="007572C5" w:rsidP="00AE208C">
            <w:pPr>
              <w:rPr>
                <w:rFonts w:cs="Times New Roman"/>
                <w:sz w:val="20"/>
                <w:szCs w:val="20"/>
              </w:rPr>
            </w:pPr>
            <w:r w:rsidRPr="00736D12">
              <w:rPr>
                <w:rFonts w:cs="Times New Roman"/>
                <w:sz w:val="20"/>
                <w:szCs w:val="20"/>
              </w:rPr>
              <w:t>1</w:t>
            </w:r>
            <w:r w:rsidR="00557346" w:rsidRPr="00736D12">
              <w:rPr>
                <w:rFonts w:cs="Times New Roman"/>
                <w:sz w:val="20"/>
                <w:szCs w:val="20"/>
              </w:rPr>
              <w:t>8.39</w:t>
            </w:r>
            <w:r w:rsidRPr="00736D12">
              <w:rPr>
                <w:rFonts w:cs="Times New Roman"/>
                <w:sz w:val="20"/>
                <w:szCs w:val="20"/>
              </w:rPr>
              <w:t>%</w:t>
            </w:r>
          </w:p>
        </w:tc>
      </w:tr>
      <w:tr w:rsidR="007572C5" w:rsidRPr="00C92385" w:rsidTr="007572C5">
        <w:tc>
          <w:tcPr>
            <w:tcW w:w="3192" w:type="dxa"/>
          </w:tcPr>
          <w:p w:rsidR="007572C5" w:rsidRPr="00736D12" w:rsidRDefault="007572C5" w:rsidP="00222A85">
            <w:pPr>
              <w:rPr>
                <w:rFonts w:cs="Times New Roman"/>
                <w:sz w:val="20"/>
                <w:szCs w:val="20"/>
              </w:rPr>
            </w:pPr>
            <w:r w:rsidRPr="00736D12">
              <w:rPr>
                <w:rFonts w:cs="Times New Roman"/>
                <w:sz w:val="20"/>
                <w:szCs w:val="20"/>
              </w:rPr>
              <w:t>Etisalat</w:t>
            </w:r>
          </w:p>
        </w:tc>
        <w:tc>
          <w:tcPr>
            <w:tcW w:w="3192" w:type="dxa"/>
          </w:tcPr>
          <w:p w:rsidR="007572C5" w:rsidRPr="00736D12" w:rsidRDefault="007572C5" w:rsidP="00222A85">
            <w:pPr>
              <w:rPr>
                <w:rFonts w:cs="Times New Roman"/>
                <w:sz w:val="20"/>
                <w:szCs w:val="20"/>
              </w:rPr>
            </w:pPr>
            <w:r w:rsidRPr="00736D12">
              <w:rPr>
                <w:rFonts w:cs="Times New Roman"/>
                <w:sz w:val="20"/>
                <w:szCs w:val="20"/>
              </w:rPr>
              <w:t>15,303,647</w:t>
            </w:r>
          </w:p>
        </w:tc>
        <w:tc>
          <w:tcPr>
            <w:tcW w:w="3192" w:type="dxa"/>
          </w:tcPr>
          <w:p w:rsidR="007572C5" w:rsidRPr="00736D12" w:rsidRDefault="007572C5" w:rsidP="00AE208C">
            <w:pPr>
              <w:rPr>
                <w:rFonts w:cs="Times New Roman"/>
                <w:sz w:val="20"/>
                <w:szCs w:val="20"/>
              </w:rPr>
            </w:pPr>
            <w:r w:rsidRPr="00736D12">
              <w:rPr>
                <w:rFonts w:cs="Times New Roman"/>
                <w:sz w:val="20"/>
                <w:szCs w:val="20"/>
              </w:rPr>
              <w:t>13</w:t>
            </w:r>
            <w:r w:rsidR="00557346" w:rsidRPr="00736D12">
              <w:rPr>
                <w:rFonts w:cs="Times New Roman"/>
                <w:sz w:val="20"/>
                <w:szCs w:val="20"/>
              </w:rPr>
              <w:t>.0</w:t>
            </w:r>
            <w:r w:rsidR="00AE208C" w:rsidRPr="00736D12">
              <w:rPr>
                <w:rFonts w:cs="Times New Roman"/>
                <w:sz w:val="20"/>
                <w:szCs w:val="20"/>
              </w:rPr>
              <w:t>4</w:t>
            </w:r>
            <w:r w:rsidRPr="00736D12">
              <w:rPr>
                <w:rFonts w:cs="Times New Roman"/>
                <w:sz w:val="20"/>
                <w:szCs w:val="20"/>
              </w:rPr>
              <w:t>%</w:t>
            </w:r>
          </w:p>
        </w:tc>
      </w:tr>
      <w:tr w:rsidR="007572C5" w:rsidRPr="00C92385" w:rsidTr="007572C5">
        <w:tc>
          <w:tcPr>
            <w:tcW w:w="3192" w:type="dxa"/>
          </w:tcPr>
          <w:p w:rsidR="007572C5" w:rsidRPr="00736D12" w:rsidRDefault="007572C5" w:rsidP="00222A85">
            <w:pPr>
              <w:rPr>
                <w:rFonts w:cs="Times New Roman"/>
                <w:sz w:val="20"/>
                <w:szCs w:val="20"/>
              </w:rPr>
            </w:pPr>
            <w:proofErr w:type="spellStart"/>
            <w:r w:rsidRPr="00736D12">
              <w:rPr>
                <w:rFonts w:cs="Times New Roman"/>
                <w:sz w:val="20"/>
                <w:szCs w:val="20"/>
              </w:rPr>
              <w:t>MTel</w:t>
            </w:r>
            <w:proofErr w:type="spellEnd"/>
          </w:p>
        </w:tc>
        <w:tc>
          <w:tcPr>
            <w:tcW w:w="3192" w:type="dxa"/>
          </w:tcPr>
          <w:p w:rsidR="007572C5" w:rsidRPr="00736D12" w:rsidRDefault="007572C5" w:rsidP="00222A85">
            <w:pPr>
              <w:rPr>
                <w:rFonts w:cs="Times New Roman"/>
                <w:sz w:val="20"/>
                <w:szCs w:val="20"/>
              </w:rPr>
            </w:pPr>
            <w:r w:rsidRPr="00736D12">
              <w:rPr>
                <w:rFonts w:cs="Times New Roman"/>
                <w:sz w:val="20"/>
                <w:szCs w:val="20"/>
              </w:rPr>
              <w:t>258,520</w:t>
            </w:r>
          </w:p>
        </w:tc>
        <w:tc>
          <w:tcPr>
            <w:tcW w:w="3192" w:type="dxa"/>
          </w:tcPr>
          <w:p w:rsidR="007572C5" w:rsidRPr="00736D12" w:rsidRDefault="00557346" w:rsidP="00222A85">
            <w:pPr>
              <w:rPr>
                <w:rFonts w:cs="Times New Roman"/>
                <w:sz w:val="20"/>
                <w:szCs w:val="20"/>
              </w:rPr>
            </w:pPr>
            <w:r w:rsidRPr="00736D12">
              <w:rPr>
                <w:rFonts w:cs="Times New Roman"/>
                <w:sz w:val="20"/>
                <w:szCs w:val="20"/>
              </w:rPr>
              <w:t>0.002%</w:t>
            </w:r>
          </w:p>
        </w:tc>
      </w:tr>
      <w:tr w:rsidR="00557346" w:rsidRPr="00C92385" w:rsidTr="007572C5">
        <w:tc>
          <w:tcPr>
            <w:tcW w:w="3192" w:type="dxa"/>
          </w:tcPr>
          <w:p w:rsidR="00557346" w:rsidRPr="00736D12" w:rsidRDefault="00557346" w:rsidP="00222A85">
            <w:pPr>
              <w:rPr>
                <w:rFonts w:cs="Times New Roman"/>
                <w:sz w:val="20"/>
                <w:szCs w:val="20"/>
              </w:rPr>
            </w:pPr>
            <w:r w:rsidRPr="00736D12">
              <w:rPr>
                <w:rFonts w:cs="Times New Roman"/>
                <w:sz w:val="20"/>
                <w:szCs w:val="20"/>
              </w:rPr>
              <w:t>TOTAL</w:t>
            </w:r>
          </w:p>
        </w:tc>
        <w:tc>
          <w:tcPr>
            <w:tcW w:w="3192" w:type="dxa"/>
          </w:tcPr>
          <w:p w:rsidR="00557346" w:rsidRPr="00736D12" w:rsidRDefault="00557346" w:rsidP="00222A85">
            <w:pPr>
              <w:rPr>
                <w:rFonts w:cs="Times New Roman"/>
                <w:sz w:val="20"/>
                <w:szCs w:val="20"/>
              </w:rPr>
            </w:pPr>
            <w:r w:rsidRPr="00736D12">
              <w:rPr>
                <w:rFonts w:cs="Times New Roman"/>
                <w:sz w:val="20"/>
                <w:szCs w:val="20"/>
              </w:rPr>
              <w:t>117,412,363</w:t>
            </w:r>
          </w:p>
        </w:tc>
        <w:tc>
          <w:tcPr>
            <w:tcW w:w="3192" w:type="dxa"/>
          </w:tcPr>
          <w:p w:rsidR="00557346" w:rsidRPr="00736D12" w:rsidRDefault="00557346" w:rsidP="00222A85">
            <w:pPr>
              <w:rPr>
                <w:rFonts w:cs="Times New Roman"/>
                <w:sz w:val="20"/>
                <w:szCs w:val="20"/>
              </w:rPr>
            </w:pPr>
          </w:p>
        </w:tc>
      </w:tr>
    </w:tbl>
    <w:p w:rsidR="0047542A" w:rsidRPr="00736D12" w:rsidRDefault="008531C5" w:rsidP="00B108CE">
      <w:pPr>
        <w:rPr>
          <w:rFonts w:cs="Times New Roman"/>
          <w:sz w:val="20"/>
          <w:szCs w:val="20"/>
        </w:rPr>
      </w:pPr>
      <w:r w:rsidRPr="00736D12">
        <w:rPr>
          <w:rFonts w:cs="Times New Roman"/>
          <w:sz w:val="20"/>
          <w:szCs w:val="20"/>
        </w:rPr>
        <w:t xml:space="preserve">Source: </w:t>
      </w:r>
      <w:r w:rsidR="0047542A" w:rsidRPr="00736D12">
        <w:rPr>
          <w:rFonts w:cs="Times New Roman"/>
          <w:sz w:val="20"/>
          <w:szCs w:val="20"/>
        </w:rPr>
        <w:t>NCC (2013)</w:t>
      </w:r>
    </w:p>
    <w:p w:rsidR="00B17ED1" w:rsidRDefault="00B17ED1" w:rsidP="001977A3">
      <w:pPr>
        <w:rPr>
          <w:rFonts w:cs="Times New Roman"/>
        </w:rPr>
      </w:pPr>
    </w:p>
    <w:p w:rsidR="001977A3" w:rsidRPr="00736D12" w:rsidRDefault="00B17ED1" w:rsidP="001977A3">
      <w:pPr>
        <w:rPr>
          <w:rFonts w:cs="Times New Roman"/>
          <w:lang w:val="en-US"/>
        </w:rPr>
      </w:pPr>
      <w:r>
        <w:rPr>
          <w:rFonts w:cs="Times New Roman"/>
        </w:rPr>
        <w:t>Table 2</w:t>
      </w:r>
      <w:r w:rsidRPr="00C92385">
        <w:rPr>
          <w:rFonts w:cs="Times New Roman"/>
        </w:rPr>
        <w:t xml:space="preserve"> indicate</w:t>
      </w:r>
      <w:r>
        <w:rPr>
          <w:rFonts w:cs="Times New Roman"/>
        </w:rPr>
        <w:t>s</w:t>
      </w:r>
      <w:r w:rsidRPr="00C92385">
        <w:rPr>
          <w:rFonts w:cs="Times New Roman"/>
        </w:rPr>
        <w:t xml:space="preserve"> that the highly competitive Nigerian mobile telecommunication market is currently dominated by four firms – South Africa based MTN, </w:t>
      </w:r>
      <w:proofErr w:type="spellStart"/>
      <w:r w:rsidRPr="00C92385">
        <w:rPr>
          <w:rFonts w:cs="Times New Roman"/>
        </w:rPr>
        <w:t>Globacom</w:t>
      </w:r>
      <w:proofErr w:type="spellEnd"/>
      <w:r w:rsidRPr="00C92385">
        <w:rPr>
          <w:rFonts w:cs="Times New Roman"/>
        </w:rPr>
        <w:t xml:space="preserve"> Ltd (Nigeria), Bharti Airtel of India and Etisalat owned by Emerging Market Telecom Services (EMTS) of UAE</w:t>
      </w:r>
      <w:r w:rsidR="007A4BD9">
        <w:rPr>
          <w:rFonts w:cs="Times New Roman"/>
        </w:rPr>
        <w:t>;</w:t>
      </w:r>
      <w:r w:rsidR="007A4BD9" w:rsidRPr="00C92385">
        <w:rPr>
          <w:rFonts w:cs="Times New Roman"/>
        </w:rPr>
        <w:t xml:space="preserve"> </w:t>
      </w:r>
      <w:r w:rsidR="007A4BD9" w:rsidRPr="00C92385">
        <w:rPr>
          <w:rFonts w:cs="Times New Roman"/>
        </w:rPr>
        <w:lastRenderedPageBreak/>
        <w:t>together</w:t>
      </w:r>
      <w:r w:rsidRPr="00C92385">
        <w:rPr>
          <w:rFonts w:cs="Times New Roman"/>
        </w:rPr>
        <w:t xml:space="preserve"> </w:t>
      </w:r>
      <w:r w:rsidR="007A4BD9">
        <w:rPr>
          <w:rFonts w:cs="Times New Roman"/>
        </w:rPr>
        <w:t xml:space="preserve">they </w:t>
      </w:r>
      <w:r w:rsidRPr="00C92385">
        <w:rPr>
          <w:rFonts w:cs="Times New Roman"/>
        </w:rPr>
        <w:t>account for around 99 per cent of the Nigerian mobile market</w:t>
      </w:r>
      <w:r>
        <w:rPr>
          <w:rFonts w:cs="Times New Roman"/>
        </w:rPr>
        <w:t>.</w:t>
      </w:r>
      <w:r w:rsidRPr="00C92385">
        <w:rPr>
          <w:rFonts w:cs="Times New Roman"/>
        </w:rPr>
        <w:t xml:space="preserve"> </w:t>
      </w:r>
      <w:r w:rsidR="00736D12">
        <w:rPr>
          <w:rFonts w:cs="Times New Roman"/>
        </w:rPr>
        <w:t>Th</w:t>
      </w:r>
      <w:r w:rsidR="007A4BD9">
        <w:rPr>
          <w:rFonts w:cs="Times New Roman"/>
        </w:rPr>
        <w:t>is</w:t>
      </w:r>
      <w:r w:rsidR="00736D12">
        <w:rPr>
          <w:rFonts w:cs="Times New Roman"/>
        </w:rPr>
        <w:t xml:space="preserve"> </w:t>
      </w:r>
      <w:r w:rsidR="00736D12" w:rsidRPr="00C92385">
        <w:rPr>
          <w:rFonts w:cs="Times New Roman"/>
        </w:rPr>
        <w:t xml:space="preserve">demonstrates the </w:t>
      </w:r>
      <w:r w:rsidR="009C4C52">
        <w:rPr>
          <w:rFonts w:cs="Times New Roman"/>
        </w:rPr>
        <w:t xml:space="preserve">prevalence of </w:t>
      </w:r>
      <w:r w:rsidR="00736D12" w:rsidRPr="00C92385">
        <w:rPr>
          <w:rFonts w:cs="Times New Roman"/>
        </w:rPr>
        <w:t>FDI in the Nigerian mobile telecommunications</w:t>
      </w:r>
      <w:r w:rsidR="007A4BD9">
        <w:rPr>
          <w:rFonts w:cs="Times New Roman"/>
        </w:rPr>
        <w:t>,</w:t>
      </w:r>
      <w:r w:rsidR="00736D12" w:rsidRPr="00C92385">
        <w:rPr>
          <w:rFonts w:cs="Times New Roman"/>
        </w:rPr>
        <w:t xml:space="preserve"> as three of the four dominant firms are foreign MNEs. </w:t>
      </w:r>
      <w:proofErr w:type="spellStart"/>
      <w:r w:rsidR="0047542A" w:rsidRPr="00C92385">
        <w:rPr>
          <w:rFonts w:cs="Times New Roman"/>
        </w:rPr>
        <w:t>Madichie</w:t>
      </w:r>
      <w:proofErr w:type="spellEnd"/>
      <w:r w:rsidR="0047542A" w:rsidRPr="00C92385">
        <w:rPr>
          <w:rFonts w:cs="Times New Roman"/>
        </w:rPr>
        <w:t xml:space="preserve"> (2011) discovered that the major determinants of FDI inflow into </w:t>
      </w:r>
      <w:r w:rsidR="0067235A" w:rsidRPr="00C92385">
        <w:rPr>
          <w:rFonts w:cs="Times New Roman"/>
        </w:rPr>
        <w:t xml:space="preserve">the </w:t>
      </w:r>
      <w:r w:rsidR="0047542A" w:rsidRPr="00C92385">
        <w:rPr>
          <w:rFonts w:cs="Times New Roman"/>
        </w:rPr>
        <w:t xml:space="preserve">Nigerian </w:t>
      </w:r>
      <w:r w:rsidR="0067235A" w:rsidRPr="00C92385">
        <w:rPr>
          <w:rFonts w:cs="Times New Roman"/>
        </w:rPr>
        <w:t>telecommunications</w:t>
      </w:r>
      <w:r w:rsidR="0047542A" w:rsidRPr="00C92385">
        <w:rPr>
          <w:rFonts w:cs="Times New Roman"/>
        </w:rPr>
        <w:t xml:space="preserve"> sector </w:t>
      </w:r>
      <w:r w:rsidR="009C4C52">
        <w:rPr>
          <w:rFonts w:cs="Times New Roman"/>
        </w:rPr>
        <w:t>are</w:t>
      </w:r>
      <w:r w:rsidR="0047542A" w:rsidRPr="00C92385">
        <w:rPr>
          <w:rFonts w:cs="Times New Roman"/>
        </w:rPr>
        <w:t xml:space="preserve"> the huge market opportunities for investment and the high-entry and product-research costs which is a major hindrance to domestic players. </w:t>
      </w:r>
      <w:proofErr w:type="spellStart"/>
      <w:r w:rsidR="0047542A" w:rsidRPr="00C92385">
        <w:rPr>
          <w:rFonts w:cs="Times New Roman"/>
        </w:rPr>
        <w:t>Madichie’s</w:t>
      </w:r>
      <w:proofErr w:type="spellEnd"/>
      <w:r w:rsidR="0047542A" w:rsidRPr="00C92385">
        <w:rPr>
          <w:rFonts w:cs="Times New Roman"/>
        </w:rPr>
        <w:t xml:space="preserve"> (2011) assessment of Middle East</w:t>
      </w:r>
      <w:r w:rsidR="00B132DB" w:rsidRPr="00C92385">
        <w:rPr>
          <w:rFonts w:cs="Times New Roman"/>
        </w:rPr>
        <w:t>ern firms’</w:t>
      </w:r>
      <w:r w:rsidR="0047542A" w:rsidRPr="00C92385">
        <w:rPr>
          <w:rFonts w:cs="Times New Roman"/>
        </w:rPr>
        <w:t xml:space="preserve"> </w:t>
      </w:r>
      <w:r w:rsidR="0067235A" w:rsidRPr="00C92385">
        <w:rPr>
          <w:rFonts w:cs="Times New Roman"/>
        </w:rPr>
        <w:t>t</w:t>
      </w:r>
      <w:r w:rsidR="0047542A" w:rsidRPr="00C92385">
        <w:rPr>
          <w:rFonts w:cs="Times New Roman"/>
        </w:rPr>
        <w:t>elecom</w:t>
      </w:r>
      <w:r w:rsidR="0067235A" w:rsidRPr="00C92385">
        <w:rPr>
          <w:rFonts w:cs="Times New Roman"/>
        </w:rPr>
        <w:t xml:space="preserve">munications </w:t>
      </w:r>
      <w:r w:rsidR="0047542A" w:rsidRPr="00C92385">
        <w:rPr>
          <w:rFonts w:cs="Times New Roman"/>
        </w:rPr>
        <w:t>investment</w:t>
      </w:r>
      <w:r w:rsidR="00B132DB" w:rsidRPr="00C92385">
        <w:rPr>
          <w:rFonts w:cs="Times New Roman"/>
        </w:rPr>
        <w:t>s</w:t>
      </w:r>
      <w:r w:rsidR="0047542A" w:rsidRPr="00C92385">
        <w:rPr>
          <w:rFonts w:cs="Times New Roman"/>
        </w:rPr>
        <w:t xml:space="preserve"> in SSA relied on qualitative case studies of three emerging market telecom operators in Nigeria: Zain (Middle East), Etisalat (Middle East) and MTN (South Africa)</w:t>
      </w:r>
      <w:r w:rsidR="00736D12">
        <w:rPr>
          <w:rFonts w:cs="Times New Roman"/>
        </w:rPr>
        <w:t xml:space="preserve">. </w:t>
      </w:r>
      <w:r w:rsidR="001977A3" w:rsidRPr="00C92385">
        <w:rPr>
          <w:rFonts w:cs="Times New Roman"/>
        </w:rPr>
        <w:t xml:space="preserve">Oji-Okoro (2011) observed that </w:t>
      </w:r>
      <w:r w:rsidR="001977A3">
        <w:rPr>
          <w:rFonts w:cs="Times New Roman"/>
        </w:rPr>
        <w:t xml:space="preserve">telecommunications </w:t>
      </w:r>
      <w:r w:rsidR="001977A3" w:rsidRPr="00C92385">
        <w:rPr>
          <w:rFonts w:cs="Times New Roman"/>
        </w:rPr>
        <w:t>FDI have completely transformed the industry</w:t>
      </w:r>
      <w:r>
        <w:rPr>
          <w:rFonts w:cs="Times New Roman"/>
        </w:rPr>
        <w:t xml:space="preserve"> and has contributed to </w:t>
      </w:r>
      <w:r w:rsidR="001977A3" w:rsidRPr="00C92385">
        <w:rPr>
          <w:rFonts w:cs="Times New Roman"/>
        </w:rPr>
        <w:t>Nigeria having the highest tele-density in Africa</w:t>
      </w:r>
      <w:r>
        <w:rPr>
          <w:rFonts w:cs="Times New Roman"/>
        </w:rPr>
        <w:t xml:space="preserve">. This trend </w:t>
      </w:r>
      <w:r w:rsidR="001977A3" w:rsidRPr="00C92385">
        <w:rPr>
          <w:rFonts w:cs="Times New Roman"/>
        </w:rPr>
        <w:t>has also driven prices below those in compara</w:t>
      </w:r>
      <w:r>
        <w:rPr>
          <w:rFonts w:cs="Times New Roman"/>
        </w:rPr>
        <w:t>tor countries. This high impact,</w:t>
      </w:r>
      <w:r w:rsidR="001977A3" w:rsidRPr="00C92385">
        <w:rPr>
          <w:rFonts w:cs="Times New Roman"/>
        </w:rPr>
        <w:t xml:space="preserve"> since liberalization in 2001</w:t>
      </w:r>
      <w:r>
        <w:rPr>
          <w:rFonts w:cs="Times New Roman"/>
        </w:rPr>
        <w:t>,</w:t>
      </w:r>
      <w:r w:rsidR="001977A3" w:rsidRPr="00C92385">
        <w:rPr>
          <w:rFonts w:cs="Times New Roman"/>
        </w:rPr>
        <w:t xml:space="preserve"> could be ascribed to the large market size of the country (NCC, 2013). </w:t>
      </w:r>
    </w:p>
    <w:p w:rsidR="0047542A" w:rsidRPr="00736D12" w:rsidRDefault="001977A3" w:rsidP="000E62C6">
      <w:pPr>
        <w:ind w:firstLine="720"/>
        <w:rPr>
          <w:rFonts w:cs="Times New Roman"/>
          <w:lang w:val="en-US"/>
        </w:rPr>
      </w:pPr>
      <w:r>
        <w:rPr>
          <w:rFonts w:cs="Times New Roman"/>
        </w:rPr>
        <w:t xml:space="preserve">It is also worth noting that </w:t>
      </w:r>
      <w:r w:rsidRPr="00C92385">
        <w:rPr>
          <w:rFonts w:cs="Times New Roman"/>
        </w:rPr>
        <w:t xml:space="preserve">the </w:t>
      </w:r>
      <w:r>
        <w:rPr>
          <w:rFonts w:cs="Times New Roman"/>
        </w:rPr>
        <w:t xml:space="preserve">sources </w:t>
      </w:r>
      <w:r w:rsidRPr="00C92385">
        <w:rPr>
          <w:rFonts w:cs="Times New Roman"/>
        </w:rPr>
        <w:t xml:space="preserve">of FDI </w:t>
      </w:r>
      <w:r>
        <w:rPr>
          <w:rFonts w:cs="Times New Roman"/>
        </w:rPr>
        <w:t xml:space="preserve">flow </w:t>
      </w:r>
      <w:r w:rsidRPr="00C92385">
        <w:rPr>
          <w:rFonts w:cs="Times New Roman"/>
        </w:rPr>
        <w:t>in</w:t>
      </w:r>
      <w:r>
        <w:rPr>
          <w:rFonts w:cs="Times New Roman"/>
        </w:rPr>
        <w:t>to</w:t>
      </w:r>
      <w:r w:rsidRPr="00C92385">
        <w:rPr>
          <w:rFonts w:cs="Times New Roman"/>
        </w:rPr>
        <w:t xml:space="preserve"> the Nigerian telecommunications industry</w:t>
      </w:r>
      <w:r>
        <w:rPr>
          <w:rFonts w:cs="Times New Roman"/>
        </w:rPr>
        <w:t xml:space="preserve"> indicate that </w:t>
      </w:r>
      <w:r w:rsidRPr="00C92385">
        <w:rPr>
          <w:rFonts w:cs="Times New Roman"/>
        </w:rPr>
        <w:t xml:space="preserve">the ‘psychic distance’ postulation of Johansson and </w:t>
      </w:r>
      <w:proofErr w:type="spellStart"/>
      <w:r w:rsidRPr="00C92385">
        <w:rPr>
          <w:rFonts w:cs="Times New Roman"/>
        </w:rPr>
        <w:t>Vahlne’s</w:t>
      </w:r>
      <w:proofErr w:type="spellEnd"/>
      <w:r w:rsidRPr="00C92385">
        <w:rPr>
          <w:rFonts w:cs="Times New Roman"/>
        </w:rPr>
        <w:t xml:space="preserve"> (1977) Uppsala Model of internationalization remains relevant today. All key FDI players in the industry are MNEs from other developing countries – MTN from South Africa, Airtel from India and Etisalat from the United Arab Emirates</w:t>
      </w:r>
      <w:r w:rsidR="007A4BD9">
        <w:rPr>
          <w:rFonts w:cs="Times New Roman"/>
        </w:rPr>
        <w:t xml:space="preserve">, </w:t>
      </w:r>
      <w:r w:rsidRPr="00C92385">
        <w:rPr>
          <w:rFonts w:cs="Times New Roman"/>
        </w:rPr>
        <w:t xml:space="preserve">together </w:t>
      </w:r>
      <w:r w:rsidR="007A4BD9">
        <w:rPr>
          <w:rFonts w:cs="Times New Roman"/>
        </w:rPr>
        <w:t xml:space="preserve">they </w:t>
      </w:r>
      <w:r w:rsidRPr="00C92385">
        <w:rPr>
          <w:rFonts w:cs="Times New Roman"/>
        </w:rPr>
        <w:t>control 79 per cent of the Nigerian telecomm</w:t>
      </w:r>
      <w:r w:rsidR="00B17ED1">
        <w:rPr>
          <w:rFonts w:cs="Times New Roman"/>
        </w:rPr>
        <w:t>unications</w:t>
      </w:r>
      <w:r w:rsidRPr="00C92385">
        <w:rPr>
          <w:rFonts w:cs="Times New Roman"/>
        </w:rPr>
        <w:t xml:space="preserve"> market (see Table 2). These developing countries share similar political and </w:t>
      </w:r>
      <w:r>
        <w:rPr>
          <w:rFonts w:cs="Times New Roman"/>
        </w:rPr>
        <w:t xml:space="preserve">institutional structures </w:t>
      </w:r>
      <w:r w:rsidRPr="00C92385">
        <w:rPr>
          <w:rFonts w:cs="Times New Roman"/>
        </w:rPr>
        <w:t xml:space="preserve">with Nigeria and thus lesser ‘psychic distance’. </w:t>
      </w:r>
      <w:r w:rsidR="00B17ED1">
        <w:rPr>
          <w:rFonts w:cs="Times New Roman"/>
        </w:rPr>
        <w:t xml:space="preserve">Previous studies affirm that </w:t>
      </w:r>
      <w:r w:rsidRPr="00C92385">
        <w:rPr>
          <w:rFonts w:cs="Times New Roman"/>
        </w:rPr>
        <w:t xml:space="preserve">developing countries generally </w:t>
      </w:r>
      <w:r w:rsidR="00FE64B9">
        <w:rPr>
          <w:rFonts w:cs="Times New Roman"/>
        </w:rPr>
        <w:t>pose</w:t>
      </w:r>
      <w:r w:rsidRPr="00C92385">
        <w:rPr>
          <w:rFonts w:cs="Times New Roman"/>
        </w:rPr>
        <w:t xml:space="preserve"> higher level</w:t>
      </w:r>
      <w:r w:rsidR="00FE64B9">
        <w:rPr>
          <w:rFonts w:cs="Times New Roman"/>
        </w:rPr>
        <w:t>s</w:t>
      </w:r>
      <w:r w:rsidRPr="00C92385">
        <w:rPr>
          <w:rFonts w:cs="Times New Roman"/>
        </w:rPr>
        <w:t xml:space="preserve"> of political risks than developed countries (Jensen, 2008; UNCTAD, 2013) and that these developing countries view political risk in much the same way (</w:t>
      </w:r>
      <w:proofErr w:type="spellStart"/>
      <w:r w:rsidRPr="00C92385">
        <w:rPr>
          <w:rFonts w:cs="Times New Roman"/>
        </w:rPr>
        <w:t>Sauvant</w:t>
      </w:r>
      <w:proofErr w:type="spellEnd"/>
      <w:r w:rsidRPr="00C92385">
        <w:rPr>
          <w:rFonts w:cs="Times New Roman"/>
        </w:rPr>
        <w:t xml:space="preserve"> et al., 2009 and </w:t>
      </w:r>
      <w:proofErr w:type="spellStart"/>
      <w:r w:rsidRPr="00C92385">
        <w:rPr>
          <w:rFonts w:cs="Times New Roman"/>
        </w:rPr>
        <w:t>Aguiar</w:t>
      </w:r>
      <w:proofErr w:type="spellEnd"/>
      <w:r w:rsidRPr="00C92385">
        <w:rPr>
          <w:rFonts w:cs="Times New Roman"/>
        </w:rPr>
        <w:t xml:space="preserve"> et al., 2012). </w:t>
      </w:r>
    </w:p>
    <w:p w:rsidR="00B132DB" w:rsidRPr="00C92385" w:rsidRDefault="00B132DB" w:rsidP="0074749D">
      <w:pPr>
        <w:rPr>
          <w:rFonts w:cs="Times New Roman"/>
        </w:rPr>
      </w:pPr>
    </w:p>
    <w:p w:rsidR="00706A66" w:rsidRPr="00C92385" w:rsidRDefault="00706A66" w:rsidP="009F0B36">
      <w:pPr>
        <w:rPr>
          <w:b/>
        </w:rPr>
      </w:pPr>
      <w:r w:rsidRPr="00C92385">
        <w:rPr>
          <w:b/>
        </w:rPr>
        <w:t>Methodology</w:t>
      </w:r>
      <w:r w:rsidR="00A37260" w:rsidRPr="00C92385">
        <w:rPr>
          <w:b/>
        </w:rPr>
        <w:t xml:space="preserve"> and </w:t>
      </w:r>
      <w:r w:rsidRPr="00C92385">
        <w:rPr>
          <w:b/>
        </w:rPr>
        <w:t>Sources of Data</w:t>
      </w:r>
    </w:p>
    <w:p w:rsidR="0074757B" w:rsidRDefault="0074757B" w:rsidP="009C4D67">
      <w:pPr>
        <w:rPr>
          <w:rFonts w:cs="Times New Roman"/>
        </w:rPr>
      </w:pPr>
      <w:r w:rsidRPr="00C92385">
        <w:rPr>
          <w:rFonts w:cs="Times New Roman"/>
        </w:rPr>
        <w:t>As a result of the longitudinal</w:t>
      </w:r>
      <w:r w:rsidR="009C4D67" w:rsidRPr="00C92385">
        <w:rPr>
          <w:rFonts w:cs="Times New Roman"/>
        </w:rPr>
        <w:t xml:space="preserve"> nature of this research paper, time series data </w:t>
      </w:r>
      <w:r w:rsidR="009C4C52">
        <w:rPr>
          <w:rFonts w:cs="Times New Roman"/>
        </w:rPr>
        <w:t xml:space="preserve">from 2002 to 2011 </w:t>
      </w:r>
      <w:r w:rsidR="001F74EF">
        <w:rPr>
          <w:rFonts w:cs="Times New Roman"/>
        </w:rPr>
        <w:t>was</w:t>
      </w:r>
      <w:r w:rsidRPr="00C92385">
        <w:rPr>
          <w:rFonts w:cs="Times New Roman"/>
        </w:rPr>
        <w:t xml:space="preserve"> used</w:t>
      </w:r>
      <w:r w:rsidR="009C4D67" w:rsidRPr="00C92385">
        <w:rPr>
          <w:rFonts w:cs="Times New Roman"/>
        </w:rPr>
        <w:t xml:space="preserve">. </w:t>
      </w:r>
      <w:r w:rsidR="001F74EF">
        <w:rPr>
          <w:rFonts w:cs="Times New Roman"/>
        </w:rPr>
        <w:t>FDI inflow data was sourced from the</w:t>
      </w:r>
      <w:r w:rsidRPr="00C92385">
        <w:rPr>
          <w:rFonts w:cs="Times New Roman"/>
        </w:rPr>
        <w:t xml:space="preserve"> World Bank</w:t>
      </w:r>
      <w:r w:rsidR="005020EC" w:rsidRPr="00C92385">
        <w:rPr>
          <w:rFonts w:cs="Times New Roman"/>
        </w:rPr>
        <w:t>’</w:t>
      </w:r>
      <w:r w:rsidRPr="00C92385">
        <w:rPr>
          <w:rFonts w:cs="Times New Roman"/>
        </w:rPr>
        <w:t xml:space="preserve">s World Development Indicator and </w:t>
      </w:r>
      <w:r w:rsidR="001F74EF">
        <w:rPr>
          <w:rFonts w:cs="Times New Roman"/>
        </w:rPr>
        <w:t>t</w:t>
      </w:r>
      <w:r w:rsidRPr="00C92385">
        <w:rPr>
          <w:rFonts w:cs="Times New Roman"/>
        </w:rPr>
        <w:t xml:space="preserve">he Nigerian Bureau of Statistics websites. </w:t>
      </w:r>
      <w:r w:rsidR="001F74EF">
        <w:rPr>
          <w:rFonts w:cs="Times New Roman"/>
        </w:rPr>
        <w:t>P</w:t>
      </w:r>
      <w:r w:rsidRPr="00C92385">
        <w:rPr>
          <w:rFonts w:cs="Times New Roman"/>
        </w:rPr>
        <w:t xml:space="preserve">olitical risk </w:t>
      </w:r>
      <w:r w:rsidR="001F74EF">
        <w:rPr>
          <w:rFonts w:cs="Times New Roman"/>
        </w:rPr>
        <w:t xml:space="preserve">data </w:t>
      </w:r>
      <w:r w:rsidRPr="00C92385">
        <w:rPr>
          <w:rFonts w:cs="Times New Roman"/>
        </w:rPr>
        <w:t>w</w:t>
      </w:r>
      <w:r w:rsidR="001F74EF">
        <w:rPr>
          <w:rFonts w:cs="Times New Roman"/>
        </w:rPr>
        <w:t xml:space="preserve">as </w:t>
      </w:r>
      <w:r w:rsidRPr="00C92385">
        <w:rPr>
          <w:rFonts w:cs="Times New Roman"/>
        </w:rPr>
        <w:t xml:space="preserve">sourced from the International Country Risk Guide (ICRG) published by the Political Risk Service (PRS) Group. </w:t>
      </w:r>
      <w:r w:rsidR="005020EC" w:rsidRPr="00C92385">
        <w:rPr>
          <w:rFonts w:cs="Times New Roman"/>
        </w:rPr>
        <w:t>T</w:t>
      </w:r>
      <w:r w:rsidRPr="00C92385">
        <w:rPr>
          <w:rFonts w:cs="Times New Roman"/>
        </w:rPr>
        <w:t>he ICRG</w:t>
      </w:r>
      <w:r w:rsidR="005020EC" w:rsidRPr="00C92385">
        <w:rPr>
          <w:rFonts w:cs="Times New Roman"/>
        </w:rPr>
        <w:t xml:space="preserve"> uses </w:t>
      </w:r>
      <w:r w:rsidR="00FE64B9">
        <w:rPr>
          <w:rFonts w:cs="Times New Roman"/>
        </w:rPr>
        <w:t xml:space="preserve">12 </w:t>
      </w:r>
      <w:r w:rsidR="005020EC" w:rsidRPr="00C92385">
        <w:rPr>
          <w:rFonts w:cs="Times New Roman"/>
        </w:rPr>
        <w:t>risk components to measure political risk of a country or region</w:t>
      </w:r>
      <w:r w:rsidR="009C4D67" w:rsidRPr="00C92385">
        <w:rPr>
          <w:rFonts w:cs="Times New Roman"/>
        </w:rPr>
        <w:t>. These components</w:t>
      </w:r>
      <w:r w:rsidR="007A4BD9">
        <w:rPr>
          <w:rFonts w:cs="Times New Roman"/>
        </w:rPr>
        <w:t>,</w:t>
      </w:r>
      <w:r w:rsidR="009C4D67" w:rsidRPr="00C92385">
        <w:rPr>
          <w:rFonts w:cs="Times New Roman"/>
        </w:rPr>
        <w:t xml:space="preserve"> </w:t>
      </w:r>
      <w:r w:rsidR="00E1795E">
        <w:rPr>
          <w:rFonts w:cs="Times New Roman"/>
        </w:rPr>
        <w:t xml:space="preserve">as shown in </w:t>
      </w:r>
      <w:r w:rsidR="00540ED9">
        <w:rPr>
          <w:rFonts w:cs="Times New Roman"/>
        </w:rPr>
        <w:t>T</w:t>
      </w:r>
      <w:r w:rsidR="00E1795E">
        <w:rPr>
          <w:rFonts w:cs="Times New Roman"/>
        </w:rPr>
        <w:t>able 3</w:t>
      </w:r>
      <w:r w:rsidR="007A4BD9">
        <w:rPr>
          <w:rFonts w:cs="Times New Roman"/>
        </w:rPr>
        <w:t>,</w:t>
      </w:r>
      <w:r w:rsidR="00E1795E">
        <w:rPr>
          <w:rFonts w:cs="Times New Roman"/>
        </w:rPr>
        <w:t xml:space="preserve"> </w:t>
      </w:r>
      <w:r w:rsidR="009C4D67" w:rsidRPr="00C92385">
        <w:rPr>
          <w:rFonts w:cs="Times New Roman"/>
        </w:rPr>
        <w:t>are</w:t>
      </w:r>
      <w:r w:rsidRPr="00C92385">
        <w:rPr>
          <w:rFonts w:cs="Times New Roman"/>
        </w:rPr>
        <w:t xml:space="preserve"> Government </w:t>
      </w:r>
      <w:r w:rsidR="009C4D67" w:rsidRPr="00C92385">
        <w:rPr>
          <w:rFonts w:cs="Times New Roman"/>
        </w:rPr>
        <w:t>S</w:t>
      </w:r>
      <w:r w:rsidRPr="00C92385">
        <w:rPr>
          <w:rFonts w:cs="Times New Roman"/>
        </w:rPr>
        <w:t xml:space="preserve">tability, </w:t>
      </w:r>
      <w:r w:rsidR="00362436">
        <w:rPr>
          <w:rFonts w:cs="Times New Roman"/>
        </w:rPr>
        <w:t>Socio</w:t>
      </w:r>
      <w:r w:rsidR="001F74EF" w:rsidRPr="00C92385">
        <w:rPr>
          <w:rFonts w:cs="Times New Roman"/>
        </w:rPr>
        <w:t>economic Conditions</w:t>
      </w:r>
      <w:r w:rsidR="00AA5A7C">
        <w:rPr>
          <w:rFonts w:cs="Times New Roman"/>
        </w:rPr>
        <w:t>,</w:t>
      </w:r>
      <w:r w:rsidR="001F74EF" w:rsidRPr="00C92385">
        <w:rPr>
          <w:rFonts w:cs="Times New Roman"/>
        </w:rPr>
        <w:t xml:space="preserve"> </w:t>
      </w:r>
      <w:r w:rsidRPr="00C92385">
        <w:rPr>
          <w:rFonts w:cs="Times New Roman"/>
        </w:rPr>
        <w:t xml:space="preserve">Investment </w:t>
      </w:r>
      <w:r w:rsidR="009C4D67" w:rsidRPr="00C92385">
        <w:rPr>
          <w:rFonts w:cs="Times New Roman"/>
        </w:rPr>
        <w:t>Profile, Internal Conflict, External C</w:t>
      </w:r>
      <w:r w:rsidRPr="00C92385">
        <w:rPr>
          <w:rFonts w:cs="Times New Roman"/>
        </w:rPr>
        <w:t xml:space="preserve">onflict, </w:t>
      </w:r>
      <w:r w:rsidR="00B132DB" w:rsidRPr="00C92385">
        <w:rPr>
          <w:rFonts w:cs="Times New Roman"/>
        </w:rPr>
        <w:t>C</w:t>
      </w:r>
      <w:r w:rsidRPr="00C92385">
        <w:rPr>
          <w:rFonts w:cs="Times New Roman"/>
        </w:rPr>
        <w:t xml:space="preserve">orruption, Military in </w:t>
      </w:r>
      <w:r w:rsidR="009C4D67" w:rsidRPr="00C92385">
        <w:rPr>
          <w:rFonts w:cs="Times New Roman"/>
        </w:rPr>
        <w:t>P</w:t>
      </w:r>
      <w:r w:rsidRPr="00C92385">
        <w:rPr>
          <w:rFonts w:cs="Times New Roman"/>
        </w:rPr>
        <w:t xml:space="preserve">olitics, </w:t>
      </w:r>
      <w:r w:rsidRPr="00C92385">
        <w:rPr>
          <w:rFonts w:cs="Times New Roman"/>
        </w:rPr>
        <w:lastRenderedPageBreak/>
        <w:t>Religio</w:t>
      </w:r>
      <w:r w:rsidR="00AA5A7C">
        <w:rPr>
          <w:rFonts w:cs="Times New Roman"/>
        </w:rPr>
        <w:t>us Tensions</w:t>
      </w:r>
      <w:r w:rsidRPr="00C92385">
        <w:rPr>
          <w:rFonts w:cs="Times New Roman"/>
        </w:rPr>
        <w:t xml:space="preserve">, Law and </w:t>
      </w:r>
      <w:r w:rsidR="009C4D67" w:rsidRPr="00C92385">
        <w:rPr>
          <w:rFonts w:cs="Times New Roman"/>
        </w:rPr>
        <w:t>O</w:t>
      </w:r>
      <w:r w:rsidRPr="00C92385">
        <w:rPr>
          <w:rFonts w:cs="Times New Roman"/>
        </w:rPr>
        <w:t xml:space="preserve">rder, </w:t>
      </w:r>
      <w:r w:rsidR="00AA5A7C" w:rsidRPr="00C92385">
        <w:rPr>
          <w:rFonts w:cs="Times New Roman"/>
        </w:rPr>
        <w:t xml:space="preserve">Ethnic </w:t>
      </w:r>
      <w:r w:rsidR="00AA5A7C">
        <w:rPr>
          <w:rFonts w:cs="Times New Roman"/>
        </w:rPr>
        <w:t>Tensions,</w:t>
      </w:r>
      <w:r w:rsidR="00AA5A7C" w:rsidRPr="00C92385">
        <w:rPr>
          <w:rFonts w:cs="Times New Roman"/>
        </w:rPr>
        <w:t xml:space="preserve"> </w:t>
      </w:r>
      <w:r w:rsidRPr="00C92385">
        <w:rPr>
          <w:rFonts w:cs="Times New Roman"/>
        </w:rPr>
        <w:t>Democra</w:t>
      </w:r>
      <w:r w:rsidR="00AA5A7C">
        <w:rPr>
          <w:rFonts w:cs="Times New Roman"/>
        </w:rPr>
        <w:t>tic Accountability</w:t>
      </w:r>
      <w:r w:rsidRPr="00C92385">
        <w:rPr>
          <w:rFonts w:cs="Times New Roman"/>
        </w:rPr>
        <w:t xml:space="preserve">, </w:t>
      </w:r>
      <w:r w:rsidR="00AA5A7C">
        <w:rPr>
          <w:rFonts w:cs="Times New Roman"/>
        </w:rPr>
        <w:t xml:space="preserve">and </w:t>
      </w:r>
      <w:r w:rsidRPr="00C92385">
        <w:rPr>
          <w:rFonts w:cs="Times New Roman"/>
        </w:rPr>
        <w:t>Bureaucra</w:t>
      </w:r>
      <w:r w:rsidR="00AA5A7C">
        <w:rPr>
          <w:rFonts w:cs="Times New Roman"/>
        </w:rPr>
        <w:t>cy</w:t>
      </w:r>
      <w:r w:rsidR="009C4D67" w:rsidRPr="00C92385">
        <w:rPr>
          <w:rFonts w:cs="Times New Roman"/>
        </w:rPr>
        <w:t xml:space="preserve"> Q</w:t>
      </w:r>
      <w:r w:rsidRPr="00C92385">
        <w:rPr>
          <w:rFonts w:cs="Times New Roman"/>
        </w:rPr>
        <w:t xml:space="preserve">uality. </w:t>
      </w:r>
      <w:r w:rsidR="00AA5A7C">
        <w:rPr>
          <w:rFonts w:cs="Times New Roman"/>
        </w:rPr>
        <w:t>The</w:t>
      </w:r>
      <w:r w:rsidR="00C13C08" w:rsidRPr="00C92385">
        <w:rPr>
          <w:lang w:val="en-US"/>
        </w:rPr>
        <w:t xml:space="preserve"> ICRG also makes available political information on which </w:t>
      </w:r>
      <w:r w:rsidR="00AA5A7C">
        <w:rPr>
          <w:lang w:val="en-US"/>
        </w:rPr>
        <w:t xml:space="preserve">the </w:t>
      </w:r>
      <w:r w:rsidR="00C13C08" w:rsidRPr="00C92385">
        <w:rPr>
          <w:lang w:val="en-US"/>
        </w:rPr>
        <w:t xml:space="preserve">ratings are based. This </w:t>
      </w:r>
      <w:r w:rsidR="00AA5A7C">
        <w:rPr>
          <w:lang w:val="en-US"/>
        </w:rPr>
        <w:t xml:space="preserve">allows </w:t>
      </w:r>
      <w:r w:rsidR="00C13C08" w:rsidRPr="00C92385">
        <w:rPr>
          <w:lang w:val="en-US"/>
        </w:rPr>
        <w:t xml:space="preserve">users to </w:t>
      </w:r>
      <w:r w:rsidR="00AA5A7C">
        <w:rPr>
          <w:lang w:val="en-US"/>
        </w:rPr>
        <w:t>interrogate the d</w:t>
      </w:r>
      <w:r w:rsidR="00C13C08" w:rsidRPr="00C92385">
        <w:rPr>
          <w:lang w:val="en-US"/>
        </w:rPr>
        <w:t xml:space="preserve">ata to assess </w:t>
      </w:r>
      <w:r w:rsidR="00AA5A7C">
        <w:rPr>
          <w:lang w:val="en-US"/>
        </w:rPr>
        <w:t xml:space="preserve">their </w:t>
      </w:r>
      <w:r w:rsidR="00C13C08" w:rsidRPr="00C92385">
        <w:rPr>
          <w:lang w:val="en-US"/>
        </w:rPr>
        <w:t xml:space="preserve">ratings </w:t>
      </w:r>
      <w:r w:rsidR="0073261C" w:rsidRPr="00C92385">
        <w:rPr>
          <w:lang w:val="en-US"/>
        </w:rPr>
        <w:t xml:space="preserve">against other rating systems </w:t>
      </w:r>
      <w:r w:rsidR="00C13C08" w:rsidRPr="00C92385">
        <w:rPr>
          <w:lang w:val="en-US"/>
        </w:rPr>
        <w:t>for validity and authenticity</w:t>
      </w:r>
      <w:r w:rsidR="0073261C" w:rsidRPr="00C92385">
        <w:rPr>
          <w:lang w:val="en-US"/>
        </w:rPr>
        <w:t>.</w:t>
      </w:r>
      <w:r w:rsidR="004E2A1F">
        <w:rPr>
          <w:lang w:val="en-US"/>
        </w:rPr>
        <w:t xml:space="preserve"> </w:t>
      </w:r>
      <w:proofErr w:type="spellStart"/>
      <w:r w:rsidR="0073261C" w:rsidRPr="00C92385">
        <w:rPr>
          <w:rFonts w:cs="Times New Roman"/>
        </w:rPr>
        <w:t>Baek</w:t>
      </w:r>
      <w:proofErr w:type="spellEnd"/>
      <w:r w:rsidR="0073261C" w:rsidRPr="00C92385">
        <w:rPr>
          <w:rFonts w:cs="Times New Roman"/>
        </w:rPr>
        <w:t xml:space="preserve"> and Qian (2011) referred to the ICRG 12-category political risk index as the most comprehensive measure of political risk and noted that it has the advantage of being directly relevant for foreign investors.  </w:t>
      </w:r>
      <w:r w:rsidRPr="00C92385">
        <w:rPr>
          <w:rFonts w:cs="Times New Roman"/>
        </w:rPr>
        <w:t xml:space="preserve">The ICRG index has been used </w:t>
      </w:r>
      <w:r w:rsidR="00E1795E">
        <w:rPr>
          <w:rFonts w:cs="Times New Roman"/>
        </w:rPr>
        <w:t xml:space="preserve">to measure </w:t>
      </w:r>
      <w:r w:rsidRPr="00C92385">
        <w:rPr>
          <w:rFonts w:cs="Times New Roman"/>
        </w:rPr>
        <w:t xml:space="preserve">political risk in both developed and developing economies by studies </w:t>
      </w:r>
      <w:r w:rsidR="00F36DDC" w:rsidRPr="00C92385">
        <w:rPr>
          <w:rFonts w:cs="Times New Roman"/>
        </w:rPr>
        <w:t xml:space="preserve">such as </w:t>
      </w:r>
      <w:proofErr w:type="spellStart"/>
      <w:r w:rsidR="00E1795E">
        <w:rPr>
          <w:rFonts w:cs="Times New Roman"/>
        </w:rPr>
        <w:t>Asiedu</w:t>
      </w:r>
      <w:proofErr w:type="spellEnd"/>
      <w:r w:rsidR="00E1795E" w:rsidRPr="00C92385">
        <w:rPr>
          <w:rFonts w:cs="Times New Roman"/>
        </w:rPr>
        <w:t xml:space="preserve"> </w:t>
      </w:r>
      <w:r w:rsidR="00E1795E">
        <w:rPr>
          <w:rFonts w:cs="Times New Roman"/>
        </w:rPr>
        <w:t>(</w:t>
      </w:r>
      <w:r w:rsidR="00E1795E" w:rsidRPr="00C92385">
        <w:rPr>
          <w:rFonts w:cs="Times New Roman"/>
        </w:rPr>
        <w:t>2006</w:t>
      </w:r>
      <w:r w:rsidR="00E1795E">
        <w:rPr>
          <w:rFonts w:cs="Times New Roman"/>
        </w:rPr>
        <w:t xml:space="preserve">), Howell (2007), </w:t>
      </w:r>
      <w:proofErr w:type="spellStart"/>
      <w:r w:rsidR="00E1795E">
        <w:rPr>
          <w:rFonts w:cs="Times New Roman"/>
        </w:rPr>
        <w:t>Busse</w:t>
      </w:r>
      <w:proofErr w:type="spellEnd"/>
      <w:r w:rsidR="00E1795E">
        <w:rPr>
          <w:rFonts w:cs="Times New Roman"/>
        </w:rPr>
        <w:t xml:space="preserve"> and </w:t>
      </w:r>
      <w:proofErr w:type="spellStart"/>
      <w:r w:rsidR="00E1795E">
        <w:rPr>
          <w:rFonts w:cs="Times New Roman"/>
        </w:rPr>
        <w:t>Hefeker</w:t>
      </w:r>
      <w:proofErr w:type="spellEnd"/>
      <w:r w:rsidR="00E1795E">
        <w:rPr>
          <w:rFonts w:cs="Times New Roman"/>
        </w:rPr>
        <w:t xml:space="preserve"> (</w:t>
      </w:r>
      <w:r w:rsidRPr="00C92385">
        <w:rPr>
          <w:rFonts w:cs="Times New Roman"/>
        </w:rPr>
        <w:t>2007</w:t>
      </w:r>
      <w:r w:rsidR="00E1795E">
        <w:rPr>
          <w:rFonts w:cs="Times New Roman"/>
        </w:rPr>
        <w:t>)</w:t>
      </w:r>
      <w:r w:rsidRPr="00C92385">
        <w:rPr>
          <w:rFonts w:cs="Times New Roman"/>
        </w:rPr>
        <w:t xml:space="preserve"> and Hayakawa et al. </w:t>
      </w:r>
      <w:r w:rsidR="00E1795E">
        <w:rPr>
          <w:rFonts w:cs="Times New Roman"/>
        </w:rPr>
        <w:t>(2011)</w:t>
      </w:r>
      <w:r w:rsidRPr="00C92385">
        <w:rPr>
          <w:rFonts w:cs="Times New Roman"/>
        </w:rPr>
        <w:t>. The ICRG ratings are also generally used by MNEs, importers and exporters, institutional investors and foreign exchange traders (Hayakawa</w:t>
      </w:r>
      <w:r w:rsidR="00B132DB" w:rsidRPr="00C92385">
        <w:rPr>
          <w:rFonts w:cs="Times New Roman"/>
        </w:rPr>
        <w:t xml:space="preserve"> et al.</w:t>
      </w:r>
      <w:r w:rsidRPr="00C92385">
        <w:rPr>
          <w:rFonts w:cs="Times New Roman"/>
        </w:rPr>
        <w:t xml:space="preserve">, 2011). </w:t>
      </w:r>
    </w:p>
    <w:p w:rsidR="00FE64B9" w:rsidRDefault="00E1795E" w:rsidP="00E1795E">
      <w:pPr>
        <w:rPr>
          <w:rFonts w:cs="Times New Roman"/>
        </w:rPr>
      </w:pPr>
      <w:r>
        <w:rPr>
          <w:rFonts w:cs="Times New Roman"/>
        </w:rPr>
        <w:tab/>
      </w:r>
    </w:p>
    <w:p w:rsidR="00E1795E" w:rsidRPr="00E368F9" w:rsidRDefault="00E1795E" w:rsidP="00E1795E">
      <w:pPr>
        <w:rPr>
          <w:rFonts w:cs="Times New Roman"/>
          <w:b/>
          <w:sz w:val="20"/>
          <w:szCs w:val="20"/>
        </w:rPr>
      </w:pPr>
      <w:r w:rsidRPr="00E368F9">
        <w:rPr>
          <w:rFonts w:cs="Times New Roman"/>
          <w:b/>
          <w:sz w:val="20"/>
          <w:szCs w:val="20"/>
        </w:rPr>
        <w:t>TABLE 3 ICRG Political Risk Components and Weight</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 w:val="16"/>
          <w:szCs w:val="16"/>
        </w:rPr>
      </w:pPr>
      <w:r w:rsidRPr="00C92385">
        <w:rPr>
          <w:rFonts w:cs="Times New Roman"/>
        </w:rPr>
        <w:tab/>
      </w:r>
      <w:r w:rsidRPr="00E368F9">
        <w:rPr>
          <w:rFonts w:cs="Times New Roman"/>
          <w:b/>
          <w:sz w:val="16"/>
          <w:szCs w:val="16"/>
        </w:rPr>
        <w:t>Component</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b/>
          <w:sz w:val="16"/>
          <w:szCs w:val="16"/>
        </w:rPr>
        <w:t>Maximum Points/Weight</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1</w:t>
      </w:r>
      <w:r w:rsidRPr="00E368F9">
        <w:rPr>
          <w:rFonts w:cs="Times New Roman"/>
          <w:sz w:val="16"/>
          <w:szCs w:val="16"/>
        </w:rPr>
        <w:tab/>
        <w:t>Government Stability</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12</w:t>
      </w:r>
    </w:p>
    <w:p w:rsidR="00E1795E" w:rsidRPr="00E368F9" w:rsidRDefault="00362436"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Pr>
          <w:rFonts w:cs="Times New Roman"/>
          <w:sz w:val="16"/>
          <w:szCs w:val="16"/>
        </w:rPr>
        <w:t>2</w:t>
      </w:r>
      <w:r>
        <w:rPr>
          <w:rFonts w:cs="Times New Roman"/>
          <w:sz w:val="16"/>
          <w:szCs w:val="16"/>
        </w:rPr>
        <w:tab/>
        <w:t>Socioe</w:t>
      </w:r>
      <w:r w:rsidR="00E1795E" w:rsidRPr="00E368F9">
        <w:rPr>
          <w:rFonts w:cs="Times New Roman"/>
          <w:sz w:val="16"/>
          <w:szCs w:val="16"/>
        </w:rPr>
        <w:t>conomic Conditions</w:t>
      </w:r>
      <w:r w:rsidR="00E1795E" w:rsidRPr="00E368F9">
        <w:rPr>
          <w:rFonts w:cs="Times New Roman"/>
          <w:sz w:val="16"/>
          <w:szCs w:val="16"/>
        </w:rPr>
        <w:tab/>
      </w:r>
      <w:r w:rsidR="00E1795E" w:rsidRPr="00E368F9">
        <w:rPr>
          <w:rFonts w:cs="Times New Roman"/>
          <w:sz w:val="16"/>
          <w:szCs w:val="16"/>
        </w:rPr>
        <w:tab/>
      </w:r>
      <w:r w:rsidR="00E1795E" w:rsidRPr="00E368F9">
        <w:rPr>
          <w:rFonts w:cs="Times New Roman"/>
          <w:sz w:val="16"/>
          <w:szCs w:val="16"/>
        </w:rPr>
        <w:tab/>
      </w:r>
      <w:r w:rsidR="00E1795E" w:rsidRPr="00E368F9">
        <w:rPr>
          <w:rFonts w:cs="Times New Roman"/>
          <w:sz w:val="16"/>
          <w:szCs w:val="16"/>
        </w:rPr>
        <w:tab/>
      </w:r>
      <w:r w:rsidR="00E1795E" w:rsidRPr="00E368F9">
        <w:rPr>
          <w:rFonts w:cs="Times New Roman"/>
          <w:sz w:val="16"/>
          <w:szCs w:val="16"/>
        </w:rPr>
        <w:tab/>
      </w:r>
      <w:r w:rsidR="00E1795E" w:rsidRPr="00E368F9">
        <w:rPr>
          <w:rFonts w:cs="Times New Roman"/>
          <w:sz w:val="16"/>
          <w:szCs w:val="16"/>
        </w:rPr>
        <w:tab/>
        <w:t>12</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3</w:t>
      </w:r>
      <w:r w:rsidRPr="00E368F9">
        <w:rPr>
          <w:rFonts w:cs="Times New Roman"/>
          <w:sz w:val="16"/>
          <w:szCs w:val="16"/>
        </w:rPr>
        <w:tab/>
        <w:t>Investment Profile</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12</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4</w:t>
      </w:r>
      <w:r w:rsidRPr="00E368F9">
        <w:rPr>
          <w:rFonts w:cs="Times New Roman"/>
          <w:sz w:val="16"/>
          <w:szCs w:val="16"/>
        </w:rPr>
        <w:tab/>
        <w:t>Internal Conflict</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12</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5</w:t>
      </w:r>
      <w:r w:rsidRPr="00E368F9">
        <w:rPr>
          <w:rFonts w:cs="Times New Roman"/>
          <w:sz w:val="16"/>
          <w:szCs w:val="16"/>
        </w:rPr>
        <w:tab/>
        <w:t>External Conflict</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12</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6</w:t>
      </w:r>
      <w:r w:rsidRPr="00E368F9">
        <w:rPr>
          <w:rFonts w:cs="Times New Roman"/>
          <w:sz w:val="16"/>
          <w:szCs w:val="16"/>
        </w:rPr>
        <w:tab/>
        <w:t>Corruption</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6</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7</w:t>
      </w:r>
      <w:r w:rsidRPr="00E368F9">
        <w:rPr>
          <w:rFonts w:cs="Times New Roman"/>
          <w:sz w:val="16"/>
          <w:szCs w:val="16"/>
        </w:rPr>
        <w:tab/>
        <w:t>Military in Politics</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6</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8</w:t>
      </w:r>
      <w:r w:rsidRPr="00E368F9">
        <w:rPr>
          <w:rFonts w:cs="Times New Roman"/>
          <w:sz w:val="16"/>
          <w:szCs w:val="16"/>
        </w:rPr>
        <w:tab/>
        <w:t>Religious Tensions</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6</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9</w:t>
      </w:r>
      <w:r w:rsidRPr="00E368F9">
        <w:rPr>
          <w:rFonts w:cs="Times New Roman"/>
          <w:sz w:val="16"/>
          <w:szCs w:val="16"/>
        </w:rPr>
        <w:tab/>
        <w:t>Law and Order</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6</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10</w:t>
      </w:r>
      <w:r w:rsidRPr="00E368F9">
        <w:rPr>
          <w:rFonts w:cs="Times New Roman"/>
          <w:sz w:val="16"/>
          <w:szCs w:val="16"/>
        </w:rPr>
        <w:tab/>
      </w:r>
      <w:r w:rsidR="00362436">
        <w:rPr>
          <w:rFonts w:cs="Times New Roman"/>
          <w:sz w:val="16"/>
          <w:szCs w:val="16"/>
        </w:rPr>
        <w:t>Ethnic Tensions</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6</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11</w:t>
      </w:r>
      <w:r w:rsidRPr="00E368F9">
        <w:rPr>
          <w:rFonts w:cs="Times New Roman"/>
          <w:sz w:val="16"/>
          <w:szCs w:val="16"/>
        </w:rPr>
        <w:tab/>
      </w:r>
      <w:r w:rsidR="00362436">
        <w:rPr>
          <w:rFonts w:cs="Times New Roman"/>
          <w:sz w:val="16"/>
          <w:szCs w:val="16"/>
        </w:rPr>
        <w:t>Democratic Accountability</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6</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12</w:t>
      </w:r>
      <w:r w:rsidRPr="00E368F9">
        <w:rPr>
          <w:rFonts w:cs="Times New Roman"/>
          <w:sz w:val="16"/>
          <w:szCs w:val="16"/>
        </w:rPr>
        <w:tab/>
        <w:t>Bureaucra</w:t>
      </w:r>
      <w:r w:rsidR="00362436">
        <w:rPr>
          <w:rFonts w:cs="Times New Roman"/>
          <w:sz w:val="16"/>
          <w:szCs w:val="16"/>
        </w:rPr>
        <w:t>cy</w:t>
      </w:r>
      <w:r w:rsidRPr="00E368F9">
        <w:rPr>
          <w:rFonts w:cs="Times New Roman"/>
          <w:sz w:val="16"/>
          <w:szCs w:val="16"/>
        </w:rPr>
        <w:t xml:space="preserve"> Quality</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4</w:t>
      </w:r>
    </w:p>
    <w:p w:rsidR="00E1795E" w:rsidRPr="00E368F9" w:rsidRDefault="00E1795E" w:rsidP="00E1795E">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sz w:val="16"/>
          <w:szCs w:val="16"/>
        </w:rPr>
      </w:pPr>
      <w:r w:rsidRPr="00E368F9">
        <w:rPr>
          <w:rFonts w:cs="Times New Roman"/>
          <w:sz w:val="16"/>
          <w:szCs w:val="16"/>
        </w:rPr>
        <w:t>TOTAL</w:t>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r>
      <w:r w:rsidRPr="00E368F9">
        <w:rPr>
          <w:rFonts w:cs="Times New Roman"/>
          <w:sz w:val="16"/>
          <w:szCs w:val="16"/>
        </w:rPr>
        <w:tab/>
        <w:t>100</w:t>
      </w:r>
    </w:p>
    <w:p w:rsidR="00E1795E" w:rsidRPr="00E368F9" w:rsidRDefault="00E1795E" w:rsidP="00E1795E">
      <w:pPr>
        <w:rPr>
          <w:rFonts w:cs="Times New Roman"/>
          <w:sz w:val="16"/>
          <w:szCs w:val="16"/>
        </w:rPr>
      </w:pPr>
      <w:r w:rsidRPr="00E368F9">
        <w:rPr>
          <w:rFonts w:cs="Times New Roman"/>
          <w:sz w:val="16"/>
          <w:szCs w:val="16"/>
        </w:rPr>
        <w:t>Source: PRS (2014)</w:t>
      </w:r>
    </w:p>
    <w:p w:rsidR="00E1795E" w:rsidRPr="00E368F9" w:rsidRDefault="00E1795E" w:rsidP="00E1795E">
      <w:pPr>
        <w:rPr>
          <w:rFonts w:cs="Times New Roman"/>
          <w:sz w:val="16"/>
          <w:szCs w:val="16"/>
        </w:rPr>
      </w:pPr>
    </w:p>
    <w:p w:rsidR="00362436" w:rsidRPr="00BF2435" w:rsidRDefault="00362436" w:rsidP="00BF2435">
      <w:pPr>
        <w:rPr>
          <w:rFonts w:cs="Times New Roman"/>
          <w:lang w:val="en-US"/>
        </w:rPr>
      </w:pPr>
      <w:r w:rsidRPr="00C92385">
        <w:t xml:space="preserve">The ICRG model was created in 1980 by the editors of International Reports, an international newsletter. In 1992, the ICRG became part of the PRS Group </w:t>
      </w:r>
      <w:r w:rsidRPr="004E2A1F">
        <w:rPr>
          <w:lang w:val="en-US"/>
        </w:rPr>
        <w:t>when its editors and analysts moved from International Reports to The PRS Group</w:t>
      </w:r>
      <w:r w:rsidRPr="00C92385">
        <w:rPr>
          <w:sz w:val="22"/>
          <w:szCs w:val="22"/>
          <w:lang w:val="en-US"/>
        </w:rPr>
        <w:t xml:space="preserve">. </w:t>
      </w:r>
      <w:r w:rsidRPr="00C92385">
        <w:rPr>
          <w:lang w:val="en-US"/>
        </w:rPr>
        <w:t xml:space="preserve">To arrive at the ICRG political risk index, </w:t>
      </w:r>
      <w:r>
        <w:rPr>
          <w:lang w:val="en-US"/>
        </w:rPr>
        <w:t xml:space="preserve">political information based on the evaluation and subjective analysis of consistent patterns </w:t>
      </w:r>
      <w:r w:rsidRPr="00C92385">
        <w:rPr>
          <w:lang w:val="en-US"/>
        </w:rPr>
        <w:t>a</w:t>
      </w:r>
      <w:r>
        <w:rPr>
          <w:lang w:val="en-US"/>
        </w:rPr>
        <w:t>re converted</w:t>
      </w:r>
      <w:r w:rsidRPr="00C92385">
        <w:rPr>
          <w:lang w:val="en-US"/>
        </w:rPr>
        <w:t xml:space="preserve"> into risk points for </w:t>
      </w:r>
      <w:r>
        <w:rPr>
          <w:lang w:val="en-US"/>
        </w:rPr>
        <w:t xml:space="preserve">individual </w:t>
      </w:r>
      <w:r w:rsidRPr="00C92385">
        <w:rPr>
          <w:lang w:val="en-US"/>
        </w:rPr>
        <w:t>risk components</w:t>
      </w:r>
      <w:r>
        <w:rPr>
          <w:lang w:val="en-US"/>
        </w:rPr>
        <w:t xml:space="preserve">. Individual components are often drawn from an aggregate of subcomponents. </w:t>
      </w:r>
      <w:r w:rsidR="00BF2435">
        <w:rPr>
          <w:lang w:val="en-US"/>
        </w:rPr>
        <w:t>C</w:t>
      </w:r>
      <w:r w:rsidR="00BF2435" w:rsidRPr="00C92385">
        <w:rPr>
          <w:lang w:val="en-US"/>
        </w:rPr>
        <w:t>omponents are</w:t>
      </w:r>
      <w:r w:rsidRPr="00C92385">
        <w:rPr>
          <w:lang w:val="en-US"/>
        </w:rPr>
        <w:t xml:space="preserve"> assigned </w:t>
      </w:r>
      <w:r w:rsidR="00F200F3" w:rsidRPr="00C92385">
        <w:rPr>
          <w:lang w:val="en-US"/>
        </w:rPr>
        <w:t>numerical</w:t>
      </w:r>
      <w:r w:rsidRPr="00C92385">
        <w:rPr>
          <w:lang w:val="en-US"/>
        </w:rPr>
        <w:t xml:space="preserve"> value</w:t>
      </w:r>
      <w:r w:rsidR="00BF2435">
        <w:rPr>
          <w:lang w:val="en-US"/>
        </w:rPr>
        <w:t>s</w:t>
      </w:r>
      <w:r w:rsidRPr="00C92385">
        <w:rPr>
          <w:lang w:val="en-US"/>
        </w:rPr>
        <w:t xml:space="preserve"> (risk points). The minimum </w:t>
      </w:r>
      <w:r w:rsidRPr="00C92385">
        <w:rPr>
          <w:rFonts w:cs="Times New Roman"/>
          <w:lang w:val="en-US"/>
        </w:rPr>
        <w:t>number of points that can be assigned to each component is zero</w:t>
      </w:r>
      <w:r w:rsidRPr="00C92385">
        <w:rPr>
          <w:lang w:val="en-US"/>
        </w:rPr>
        <w:t xml:space="preserve"> while the </w:t>
      </w:r>
      <w:r w:rsidRPr="00C92385">
        <w:rPr>
          <w:lang w:val="en-US"/>
        </w:rPr>
        <w:lastRenderedPageBreak/>
        <w:t>maximum point awarded to any particular risk component is pre-set</w:t>
      </w:r>
      <w:r>
        <w:rPr>
          <w:lang w:val="en-US"/>
        </w:rPr>
        <w:t xml:space="preserve"> </w:t>
      </w:r>
      <w:r w:rsidR="00BF2435">
        <w:rPr>
          <w:lang w:val="en-US"/>
        </w:rPr>
        <w:t>(see</w:t>
      </w:r>
      <w:r>
        <w:rPr>
          <w:lang w:val="en-US"/>
        </w:rPr>
        <w:t xml:space="preserve"> </w:t>
      </w:r>
      <w:r w:rsidR="00540ED9">
        <w:rPr>
          <w:lang w:val="en-US"/>
        </w:rPr>
        <w:t>T</w:t>
      </w:r>
      <w:r>
        <w:rPr>
          <w:lang w:val="en-US"/>
        </w:rPr>
        <w:t>a</w:t>
      </w:r>
      <w:r w:rsidRPr="00C92385">
        <w:rPr>
          <w:lang w:val="en-US"/>
        </w:rPr>
        <w:t>ble 3</w:t>
      </w:r>
      <w:r w:rsidR="00BF2435">
        <w:rPr>
          <w:lang w:val="en-US"/>
        </w:rPr>
        <w:t>)</w:t>
      </w:r>
      <w:r w:rsidRPr="00C92385">
        <w:rPr>
          <w:lang w:val="en-US"/>
        </w:rPr>
        <w:t xml:space="preserve"> and depends on the relevance of that component to the overall risk of a country. </w:t>
      </w:r>
      <w:r w:rsidRPr="00C92385">
        <w:rPr>
          <w:rFonts w:cs="Times New Roman"/>
          <w:lang w:val="en-US"/>
        </w:rPr>
        <w:t>To ensure consistency, both between countries and over time, the ICRG editors assign these points on the basis of a series of pre-set questions for each risk component</w:t>
      </w:r>
      <w:r>
        <w:rPr>
          <w:rFonts w:cs="Times New Roman"/>
          <w:lang w:val="en-US"/>
        </w:rPr>
        <w:t xml:space="preserve"> (PRS, 2014)</w:t>
      </w:r>
      <w:r w:rsidRPr="00C92385">
        <w:rPr>
          <w:rFonts w:cs="Times New Roman"/>
          <w:lang w:val="en-US"/>
        </w:rPr>
        <w:t>.</w:t>
      </w:r>
    </w:p>
    <w:p w:rsidR="00E1795E" w:rsidRPr="00C92385" w:rsidRDefault="00E1795E" w:rsidP="00E1795E">
      <w:pPr>
        <w:ind w:firstLine="720"/>
        <w:rPr>
          <w:rFonts w:cs="Times New Roman"/>
        </w:rPr>
      </w:pPr>
      <w:r w:rsidRPr="00C92385">
        <w:rPr>
          <w:rFonts w:cs="Times New Roman"/>
        </w:rPr>
        <w:t xml:space="preserve">The ICRG provides monthly and annual political risk index for 166 countries by assigning risk points to each of the twelve components. </w:t>
      </w:r>
      <w:r w:rsidR="00BF2435">
        <w:rPr>
          <w:rFonts w:cs="Times New Roman"/>
        </w:rPr>
        <w:t>High</w:t>
      </w:r>
      <w:r w:rsidRPr="00C92385">
        <w:rPr>
          <w:rFonts w:cs="Times New Roman"/>
        </w:rPr>
        <w:t xml:space="preserve"> total risk points</w:t>
      </w:r>
      <w:r w:rsidR="00BF2435">
        <w:rPr>
          <w:rFonts w:cs="Times New Roman"/>
        </w:rPr>
        <w:t xml:space="preserve"> indicate </w:t>
      </w:r>
      <w:r w:rsidRPr="00C92385">
        <w:rPr>
          <w:rFonts w:cs="Times New Roman"/>
        </w:rPr>
        <w:t>lower</w:t>
      </w:r>
      <w:r w:rsidR="00BF2435">
        <w:rPr>
          <w:rFonts w:cs="Times New Roman"/>
        </w:rPr>
        <w:t xml:space="preserve"> </w:t>
      </w:r>
      <w:r w:rsidRPr="00C92385">
        <w:rPr>
          <w:rFonts w:cs="Times New Roman"/>
        </w:rPr>
        <w:t>risk, while low risk points signif</w:t>
      </w:r>
      <w:r w:rsidR="00BF2435">
        <w:rPr>
          <w:rFonts w:cs="Times New Roman"/>
        </w:rPr>
        <w:t>y</w:t>
      </w:r>
      <w:r w:rsidRPr="00C92385">
        <w:rPr>
          <w:rFonts w:cs="Times New Roman"/>
        </w:rPr>
        <w:t xml:space="preserve"> higher risk. </w:t>
      </w:r>
      <w:r w:rsidR="00BF2435">
        <w:rPr>
          <w:rFonts w:cs="Times New Roman"/>
        </w:rPr>
        <w:t xml:space="preserve">Composite political </w:t>
      </w:r>
      <w:r w:rsidR="00750A22">
        <w:rPr>
          <w:rFonts w:cs="Times New Roman"/>
        </w:rPr>
        <w:t>risk for each country is</w:t>
      </w:r>
      <w:r w:rsidR="00BF2435">
        <w:rPr>
          <w:rFonts w:cs="Times New Roman"/>
        </w:rPr>
        <w:t xml:space="preserve"> classified into the distinct bands below to indicate level of risk:</w:t>
      </w:r>
    </w:p>
    <w:p w:rsidR="00E1795E" w:rsidRPr="0072461D" w:rsidRDefault="00E1795E" w:rsidP="00E1795E">
      <w:pPr>
        <w:pStyle w:val="ListParagraph"/>
        <w:numPr>
          <w:ilvl w:val="0"/>
          <w:numId w:val="28"/>
        </w:numPr>
        <w:rPr>
          <w:rFonts w:ascii="Times New Roman" w:hAnsi="Times New Roman"/>
        </w:rPr>
      </w:pPr>
      <w:r w:rsidRPr="0072461D">
        <w:rPr>
          <w:rFonts w:ascii="Times New Roman" w:hAnsi="Times New Roman"/>
        </w:rPr>
        <w:t>Band one:</w:t>
      </w:r>
      <w:r w:rsidRPr="0072461D">
        <w:rPr>
          <w:rFonts w:ascii="Times New Roman" w:hAnsi="Times New Roman"/>
        </w:rPr>
        <w:tab/>
        <w:t>Very-Low Risk (80% – 100%)</w:t>
      </w:r>
    </w:p>
    <w:p w:rsidR="00E1795E" w:rsidRPr="0072461D" w:rsidRDefault="00E1795E" w:rsidP="00E1795E">
      <w:pPr>
        <w:pStyle w:val="ListParagraph"/>
        <w:numPr>
          <w:ilvl w:val="0"/>
          <w:numId w:val="28"/>
        </w:numPr>
        <w:rPr>
          <w:rFonts w:ascii="Times New Roman" w:hAnsi="Times New Roman"/>
        </w:rPr>
      </w:pPr>
      <w:r w:rsidRPr="0072461D">
        <w:rPr>
          <w:rFonts w:ascii="Times New Roman" w:hAnsi="Times New Roman"/>
        </w:rPr>
        <w:t>Band two:</w:t>
      </w:r>
      <w:r w:rsidRPr="0072461D">
        <w:rPr>
          <w:rFonts w:ascii="Times New Roman" w:hAnsi="Times New Roman"/>
        </w:rPr>
        <w:tab/>
        <w:t>Low-Risk (70% – 79.9%)</w:t>
      </w:r>
    </w:p>
    <w:p w:rsidR="00E1795E" w:rsidRPr="0072461D" w:rsidRDefault="00E1795E" w:rsidP="00E1795E">
      <w:pPr>
        <w:pStyle w:val="ListParagraph"/>
        <w:numPr>
          <w:ilvl w:val="0"/>
          <w:numId w:val="28"/>
        </w:numPr>
        <w:rPr>
          <w:rFonts w:ascii="Times New Roman" w:hAnsi="Times New Roman"/>
        </w:rPr>
      </w:pPr>
      <w:r w:rsidRPr="0072461D">
        <w:rPr>
          <w:rFonts w:ascii="Times New Roman" w:hAnsi="Times New Roman"/>
        </w:rPr>
        <w:t>Band three:</w:t>
      </w:r>
      <w:r w:rsidRPr="0072461D">
        <w:rPr>
          <w:rFonts w:ascii="Times New Roman" w:hAnsi="Times New Roman"/>
        </w:rPr>
        <w:tab/>
        <w:t>Moderate Risk (60%– 69.9%)</w:t>
      </w:r>
    </w:p>
    <w:p w:rsidR="00E1795E" w:rsidRPr="0072461D" w:rsidRDefault="00E1795E" w:rsidP="00E1795E">
      <w:pPr>
        <w:pStyle w:val="ListParagraph"/>
        <w:numPr>
          <w:ilvl w:val="0"/>
          <w:numId w:val="28"/>
        </w:numPr>
        <w:rPr>
          <w:rFonts w:ascii="Times New Roman" w:hAnsi="Times New Roman"/>
        </w:rPr>
      </w:pPr>
      <w:r w:rsidRPr="0072461D">
        <w:rPr>
          <w:rFonts w:ascii="Times New Roman" w:hAnsi="Times New Roman"/>
        </w:rPr>
        <w:t>Band Four:</w:t>
      </w:r>
      <w:r w:rsidRPr="0072461D">
        <w:rPr>
          <w:rFonts w:ascii="Times New Roman" w:hAnsi="Times New Roman"/>
        </w:rPr>
        <w:tab/>
        <w:t>High Risk (50% – 59.9%)</w:t>
      </w:r>
    </w:p>
    <w:p w:rsidR="00E1795E" w:rsidRDefault="00E1795E" w:rsidP="00E1795E">
      <w:pPr>
        <w:pStyle w:val="ListParagraph"/>
        <w:numPr>
          <w:ilvl w:val="0"/>
          <w:numId w:val="28"/>
        </w:numPr>
        <w:rPr>
          <w:rFonts w:ascii="Times New Roman" w:hAnsi="Times New Roman"/>
        </w:rPr>
      </w:pPr>
      <w:r w:rsidRPr="0072461D">
        <w:rPr>
          <w:rFonts w:ascii="Times New Roman" w:hAnsi="Times New Roman"/>
        </w:rPr>
        <w:t>Band Five:</w:t>
      </w:r>
      <w:r w:rsidRPr="0072461D">
        <w:rPr>
          <w:rFonts w:ascii="Times New Roman" w:hAnsi="Times New Roman"/>
        </w:rPr>
        <w:tab/>
        <w:t>Very-High Risk (0.0% – 49.9%)</w:t>
      </w:r>
    </w:p>
    <w:p w:rsidR="004636C5" w:rsidRDefault="004636C5" w:rsidP="004636C5">
      <w:pPr>
        <w:pStyle w:val="ListParagraph"/>
        <w:rPr>
          <w:rFonts w:ascii="Times New Roman" w:hAnsi="Times New Roman"/>
        </w:rPr>
      </w:pPr>
    </w:p>
    <w:p w:rsidR="00F36DDC" w:rsidRPr="00C92385" w:rsidRDefault="0074757B" w:rsidP="000125A9">
      <w:pPr>
        <w:rPr>
          <w:rFonts w:cs="Times New Roman"/>
        </w:rPr>
      </w:pPr>
      <w:r w:rsidRPr="00C92385">
        <w:rPr>
          <w:rFonts w:cs="Times New Roman"/>
        </w:rPr>
        <w:t xml:space="preserve">Quantitative data on FDI </w:t>
      </w:r>
      <w:r w:rsidR="00B30082" w:rsidRPr="00C92385">
        <w:rPr>
          <w:rFonts w:cs="Times New Roman"/>
        </w:rPr>
        <w:t>in</w:t>
      </w:r>
      <w:r w:rsidRPr="00C92385">
        <w:rPr>
          <w:rFonts w:cs="Times New Roman"/>
        </w:rPr>
        <w:t xml:space="preserve">flow </w:t>
      </w:r>
      <w:r w:rsidR="00B30082" w:rsidRPr="00C92385">
        <w:rPr>
          <w:rFonts w:cs="Times New Roman"/>
        </w:rPr>
        <w:t>into the Nigerian telecommunication industry</w:t>
      </w:r>
      <w:r w:rsidR="00FE64B9">
        <w:rPr>
          <w:rFonts w:cs="Times New Roman"/>
        </w:rPr>
        <w:t>,</w:t>
      </w:r>
      <w:r w:rsidR="00B30082" w:rsidRPr="00C92385">
        <w:rPr>
          <w:rFonts w:cs="Times New Roman"/>
        </w:rPr>
        <w:t xml:space="preserve"> </w:t>
      </w:r>
      <w:r w:rsidR="00FE64B9">
        <w:rPr>
          <w:rFonts w:cs="Times New Roman"/>
        </w:rPr>
        <w:t xml:space="preserve">from 2002 to 2011, </w:t>
      </w:r>
      <w:r w:rsidR="00750A22">
        <w:rPr>
          <w:rFonts w:cs="Times New Roman"/>
        </w:rPr>
        <w:t>were used to generate tables and graphs as used in Howell (2007) to help establish</w:t>
      </w:r>
      <w:r w:rsidR="00B30082" w:rsidRPr="00C92385">
        <w:rPr>
          <w:rFonts w:cs="Times New Roman"/>
        </w:rPr>
        <w:t xml:space="preserve"> trends </w:t>
      </w:r>
      <w:r w:rsidRPr="00C92385">
        <w:rPr>
          <w:rFonts w:cs="Times New Roman"/>
        </w:rPr>
        <w:t xml:space="preserve">analysed alongside quantified </w:t>
      </w:r>
      <w:r w:rsidR="00750A22">
        <w:rPr>
          <w:rFonts w:cs="Times New Roman"/>
        </w:rPr>
        <w:t xml:space="preserve">ICRG </w:t>
      </w:r>
      <w:r w:rsidRPr="00C92385">
        <w:rPr>
          <w:rFonts w:cs="Times New Roman"/>
        </w:rPr>
        <w:t>political risk data</w:t>
      </w:r>
      <w:r w:rsidR="00750A22">
        <w:rPr>
          <w:rFonts w:cs="Times New Roman"/>
        </w:rPr>
        <w:t xml:space="preserve"> over the</w:t>
      </w:r>
      <w:r w:rsidRPr="00C92385">
        <w:rPr>
          <w:rFonts w:cs="Times New Roman"/>
        </w:rPr>
        <w:t xml:space="preserve"> same period</w:t>
      </w:r>
      <w:r w:rsidR="00F36DDC" w:rsidRPr="00C92385">
        <w:rPr>
          <w:rFonts w:cs="Times New Roman"/>
        </w:rPr>
        <w:t xml:space="preserve">. </w:t>
      </w:r>
      <w:r w:rsidRPr="00C92385">
        <w:rPr>
          <w:rFonts w:cs="Times New Roman"/>
        </w:rPr>
        <w:t xml:space="preserve">The analysis </w:t>
      </w:r>
      <w:r w:rsidR="00553C64">
        <w:rPr>
          <w:rFonts w:cs="Times New Roman"/>
        </w:rPr>
        <w:t xml:space="preserve">was </w:t>
      </w:r>
      <w:r w:rsidRPr="00C92385">
        <w:rPr>
          <w:rFonts w:cs="Times New Roman"/>
        </w:rPr>
        <w:t>in two parts</w:t>
      </w:r>
      <w:r w:rsidR="00553C64">
        <w:rPr>
          <w:rFonts w:cs="Times New Roman"/>
        </w:rPr>
        <w:t>: First</w:t>
      </w:r>
      <w:r w:rsidRPr="00C92385">
        <w:rPr>
          <w:rFonts w:cs="Times New Roman"/>
        </w:rPr>
        <w:t xml:space="preserve">, </w:t>
      </w:r>
      <w:r w:rsidR="00553C64">
        <w:rPr>
          <w:rFonts w:cs="Times New Roman"/>
        </w:rPr>
        <w:t>c</w:t>
      </w:r>
      <w:r w:rsidRPr="00C92385">
        <w:rPr>
          <w:rFonts w:cs="Times New Roman"/>
        </w:rPr>
        <w:t>omposite political risk data (independent variable</w:t>
      </w:r>
      <w:r w:rsidR="00553C64">
        <w:rPr>
          <w:rFonts w:cs="Times New Roman"/>
        </w:rPr>
        <w:t>s</w:t>
      </w:r>
      <w:r w:rsidRPr="00C92385">
        <w:rPr>
          <w:rFonts w:cs="Times New Roman"/>
        </w:rPr>
        <w:t>) involv</w:t>
      </w:r>
      <w:r w:rsidR="00FE64B9">
        <w:rPr>
          <w:rFonts w:cs="Times New Roman"/>
        </w:rPr>
        <w:t>ing the 12 c</w:t>
      </w:r>
      <w:r w:rsidR="00553C64">
        <w:rPr>
          <w:rFonts w:cs="Times New Roman"/>
        </w:rPr>
        <w:t xml:space="preserve">omponents </w:t>
      </w:r>
      <w:r w:rsidRPr="00C92385">
        <w:rPr>
          <w:rFonts w:cs="Times New Roman"/>
        </w:rPr>
        <w:t xml:space="preserve">are presented </w:t>
      </w:r>
      <w:r w:rsidR="00F36DDC" w:rsidRPr="00C92385">
        <w:rPr>
          <w:rFonts w:cs="Times New Roman"/>
        </w:rPr>
        <w:t xml:space="preserve">alongside </w:t>
      </w:r>
      <w:r w:rsidRPr="00C92385">
        <w:rPr>
          <w:rFonts w:cs="Times New Roman"/>
        </w:rPr>
        <w:t>Nigeri</w:t>
      </w:r>
      <w:r w:rsidR="00553C64">
        <w:rPr>
          <w:rFonts w:cs="Times New Roman"/>
        </w:rPr>
        <w:t>a’s FDI net inflow figures (</w:t>
      </w:r>
      <w:r w:rsidRPr="00C92385">
        <w:rPr>
          <w:rFonts w:cs="Times New Roman"/>
        </w:rPr>
        <w:t xml:space="preserve">dependent variable) for the study period to determine the overall effect of political risk on FDI. </w:t>
      </w:r>
      <w:r w:rsidR="00553C64">
        <w:rPr>
          <w:rFonts w:cs="Times New Roman"/>
        </w:rPr>
        <w:t xml:space="preserve">To evaluate trends further, </w:t>
      </w:r>
      <w:r w:rsidRPr="00C92385">
        <w:rPr>
          <w:rFonts w:cs="Times New Roman"/>
        </w:rPr>
        <w:t xml:space="preserve">annual </w:t>
      </w:r>
      <w:r w:rsidR="00553C64">
        <w:rPr>
          <w:rFonts w:cs="Times New Roman"/>
        </w:rPr>
        <w:t xml:space="preserve">political risk </w:t>
      </w:r>
      <w:r w:rsidRPr="00C92385">
        <w:rPr>
          <w:rFonts w:cs="Times New Roman"/>
        </w:rPr>
        <w:t>percentage change</w:t>
      </w:r>
      <w:r w:rsidR="00553C64">
        <w:rPr>
          <w:rFonts w:cs="Times New Roman"/>
        </w:rPr>
        <w:t xml:space="preserve">s </w:t>
      </w:r>
      <w:r w:rsidRPr="00C92385">
        <w:rPr>
          <w:rFonts w:cs="Times New Roman"/>
        </w:rPr>
        <w:t xml:space="preserve">are calculated and compared </w:t>
      </w:r>
      <w:r w:rsidR="00553C64">
        <w:rPr>
          <w:rFonts w:cs="Times New Roman"/>
        </w:rPr>
        <w:t>to</w:t>
      </w:r>
      <w:r w:rsidRPr="00C92385">
        <w:rPr>
          <w:rFonts w:cs="Times New Roman"/>
        </w:rPr>
        <w:t xml:space="preserve"> annual </w:t>
      </w:r>
      <w:r w:rsidR="00553C64">
        <w:rPr>
          <w:rFonts w:cs="Times New Roman"/>
        </w:rPr>
        <w:t xml:space="preserve">net FDI inflow </w:t>
      </w:r>
      <w:r w:rsidRPr="00C92385">
        <w:rPr>
          <w:rFonts w:cs="Times New Roman"/>
        </w:rPr>
        <w:t>percentage change</w:t>
      </w:r>
      <w:r w:rsidR="00553C64">
        <w:rPr>
          <w:rFonts w:cs="Times New Roman"/>
        </w:rPr>
        <w:t>s</w:t>
      </w:r>
      <w:r w:rsidRPr="00C92385">
        <w:rPr>
          <w:rFonts w:cs="Times New Roman"/>
        </w:rPr>
        <w:t xml:space="preserve"> for e</w:t>
      </w:r>
      <w:r w:rsidR="00553C64">
        <w:rPr>
          <w:rFonts w:cs="Times New Roman"/>
        </w:rPr>
        <w:t xml:space="preserve">ach year over </w:t>
      </w:r>
      <w:r w:rsidRPr="00C92385">
        <w:rPr>
          <w:rFonts w:cs="Times New Roman"/>
        </w:rPr>
        <w:t xml:space="preserve">the study period.  </w:t>
      </w:r>
      <w:r w:rsidR="00553C64">
        <w:rPr>
          <w:rFonts w:cs="Times New Roman"/>
        </w:rPr>
        <w:t>Second, correlations between all variables are generated. Particular emphasis is given to the relationship between the dependent and independent variables a</w:t>
      </w:r>
      <w:r w:rsidR="00FC5E98">
        <w:rPr>
          <w:rFonts w:cs="Times New Roman"/>
        </w:rPr>
        <w:t xml:space="preserve">nd these are ranked accordingly. </w:t>
      </w:r>
      <w:r w:rsidR="008D38FE">
        <w:rPr>
          <w:rFonts w:cs="Times New Roman"/>
        </w:rPr>
        <w:t>Political risk components that correlated s</w:t>
      </w:r>
      <w:r w:rsidR="00FC5E98">
        <w:rPr>
          <w:rFonts w:cs="Times New Roman"/>
        </w:rPr>
        <w:t>ignificant</w:t>
      </w:r>
      <w:r w:rsidR="008D38FE">
        <w:rPr>
          <w:rFonts w:cs="Times New Roman"/>
        </w:rPr>
        <w:t xml:space="preserve">ly with Net Telecoms FDI inflow were </w:t>
      </w:r>
      <w:r w:rsidR="00FC5E98">
        <w:rPr>
          <w:rFonts w:cs="Times New Roman"/>
        </w:rPr>
        <w:t xml:space="preserve">then analysed, via multiple backward regression to evaluate the extent to which significant variables can explain net FDI inflow. In line with the ICRG data, this analysis takes into consideration the fact that increases in the risk component points over a period signify the lowering of political risk. </w:t>
      </w:r>
    </w:p>
    <w:p w:rsidR="00D570AC" w:rsidRDefault="00D570AC" w:rsidP="00C936E3">
      <w:pPr>
        <w:pStyle w:val="NoSpacing"/>
        <w:spacing w:line="360" w:lineRule="auto"/>
        <w:rPr>
          <w:rFonts w:ascii="Times New Roman" w:hAnsi="Times New Roman" w:cs="Times New Roman"/>
          <w:bCs/>
          <w:sz w:val="24"/>
          <w:szCs w:val="24"/>
        </w:rPr>
      </w:pPr>
    </w:p>
    <w:p w:rsidR="004636C5" w:rsidRDefault="004636C5" w:rsidP="00C936E3">
      <w:pPr>
        <w:pStyle w:val="NoSpacing"/>
        <w:spacing w:line="360" w:lineRule="auto"/>
        <w:rPr>
          <w:rFonts w:ascii="Times New Roman" w:hAnsi="Times New Roman" w:cs="Times New Roman"/>
          <w:bCs/>
          <w:sz w:val="24"/>
          <w:szCs w:val="24"/>
        </w:rPr>
      </w:pPr>
    </w:p>
    <w:p w:rsidR="001A1B46" w:rsidRDefault="001A1B46" w:rsidP="00C936E3">
      <w:pPr>
        <w:pStyle w:val="NoSpacing"/>
        <w:spacing w:line="360" w:lineRule="auto"/>
        <w:rPr>
          <w:rFonts w:ascii="Times New Roman" w:hAnsi="Times New Roman" w:cs="Times New Roman"/>
          <w:bCs/>
          <w:sz w:val="24"/>
          <w:szCs w:val="24"/>
        </w:rPr>
      </w:pPr>
    </w:p>
    <w:p w:rsidR="00C936E3" w:rsidRPr="00C92385" w:rsidRDefault="00C936E3" w:rsidP="00C936E3">
      <w:pPr>
        <w:pStyle w:val="NoSpacing"/>
        <w:spacing w:line="360" w:lineRule="auto"/>
        <w:rPr>
          <w:rFonts w:ascii="Times New Roman" w:hAnsi="Times New Roman" w:cs="Times New Roman"/>
          <w:b/>
          <w:bCs/>
          <w:sz w:val="24"/>
          <w:szCs w:val="24"/>
        </w:rPr>
      </w:pPr>
      <w:r w:rsidRPr="00C92385">
        <w:rPr>
          <w:rFonts w:ascii="Times New Roman" w:hAnsi="Times New Roman" w:cs="Times New Roman"/>
          <w:b/>
          <w:bCs/>
          <w:sz w:val="24"/>
          <w:szCs w:val="24"/>
        </w:rPr>
        <w:lastRenderedPageBreak/>
        <w:t>Data Presentation and Discussion of Findings</w:t>
      </w:r>
    </w:p>
    <w:p w:rsidR="00F6582A" w:rsidRPr="00C92385" w:rsidRDefault="00E36F45" w:rsidP="00F6582A">
      <w:pPr>
        <w:rPr>
          <w:rFonts w:cs="Times New Roman"/>
        </w:rPr>
      </w:pPr>
      <w:r w:rsidRPr="00C92385">
        <w:rPr>
          <w:rFonts w:cs="Times New Roman"/>
        </w:rPr>
        <w:t xml:space="preserve">From </w:t>
      </w:r>
      <w:r w:rsidR="00540ED9">
        <w:rPr>
          <w:rFonts w:cs="Times New Roman"/>
        </w:rPr>
        <w:t>T</w:t>
      </w:r>
      <w:r w:rsidRPr="00C92385">
        <w:rPr>
          <w:rFonts w:cs="Times New Roman"/>
        </w:rPr>
        <w:t>able 4, the composite political risk rating for Nigeria during the period 2002 to 2011 ranged from 38.79</w:t>
      </w:r>
      <w:r w:rsidR="00385C55" w:rsidRPr="00C92385">
        <w:rPr>
          <w:rFonts w:cs="Times New Roman"/>
        </w:rPr>
        <w:t xml:space="preserve"> </w:t>
      </w:r>
      <w:r w:rsidRPr="00C92385">
        <w:rPr>
          <w:rFonts w:cs="Times New Roman"/>
        </w:rPr>
        <w:t>to 46</w:t>
      </w:r>
      <w:r w:rsidR="00385C55" w:rsidRPr="00C92385">
        <w:rPr>
          <w:rFonts w:cs="Times New Roman"/>
        </w:rPr>
        <w:t>.</w:t>
      </w:r>
      <w:r w:rsidRPr="00C92385">
        <w:rPr>
          <w:rFonts w:cs="Times New Roman"/>
        </w:rPr>
        <w:t xml:space="preserve"> This means that the most favourable risk rating Nigeria achieved within the period is 46</w:t>
      </w:r>
      <w:r w:rsidR="00385C55" w:rsidRPr="00C92385">
        <w:rPr>
          <w:rFonts w:cs="Times New Roman"/>
        </w:rPr>
        <w:t xml:space="preserve"> per cent</w:t>
      </w:r>
      <w:r w:rsidR="00BF186F">
        <w:rPr>
          <w:rFonts w:cs="Times New Roman"/>
        </w:rPr>
        <w:t>,</w:t>
      </w:r>
      <w:r w:rsidRPr="00C92385">
        <w:rPr>
          <w:rFonts w:cs="Times New Roman"/>
        </w:rPr>
        <w:t xml:space="preserve"> recorded in 2006 and 2011. This risk level falls within the very high risk ranking of the ICRG. However, there is notable and sustained improvement as most of the years witnessed positive percentage change</w:t>
      </w:r>
      <w:r w:rsidR="00FC5E98">
        <w:rPr>
          <w:rFonts w:cs="Times New Roman"/>
        </w:rPr>
        <w:t>s</w:t>
      </w:r>
      <w:r w:rsidRPr="00C92385">
        <w:rPr>
          <w:rFonts w:cs="Times New Roman"/>
        </w:rPr>
        <w:t xml:space="preserve">. </w:t>
      </w:r>
      <w:r w:rsidR="00FC5E98">
        <w:rPr>
          <w:rFonts w:cs="Times New Roman"/>
        </w:rPr>
        <w:t xml:space="preserve">Arguably, </w:t>
      </w:r>
      <w:r w:rsidR="00C936E3" w:rsidRPr="00C92385">
        <w:rPr>
          <w:rFonts w:cs="Times New Roman"/>
        </w:rPr>
        <w:t xml:space="preserve">the improvement </w:t>
      </w:r>
      <w:r w:rsidR="00FC5E98">
        <w:rPr>
          <w:rFonts w:cs="Times New Roman"/>
        </w:rPr>
        <w:t xml:space="preserve">could have </w:t>
      </w:r>
      <w:r w:rsidR="00C936E3" w:rsidRPr="00C92385">
        <w:rPr>
          <w:rFonts w:cs="Times New Roman"/>
        </w:rPr>
        <w:t>result</w:t>
      </w:r>
      <w:r w:rsidR="00B21873" w:rsidRPr="00C92385">
        <w:rPr>
          <w:rFonts w:cs="Times New Roman"/>
        </w:rPr>
        <w:t>ed</w:t>
      </w:r>
      <w:r w:rsidR="00C936E3" w:rsidRPr="00C92385">
        <w:rPr>
          <w:rFonts w:cs="Times New Roman"/>
        </w:rPr>
        <w:t xml:space="preserve"> from </w:t>
      </w:r>
      <w:r w:rsidRPr="00C92385">
        <w:rPr>
          <w:rFonts w:cs="Times New Roman"/>
        </w:rPr>
        <w:t xml:space="preserve">the </w:t>
      </w:r>
      <w:r w:rsidR="00C936E3" w:rsidRPr="00C92385">
        <w:rPr>
          <w:rFonts w:cs="Times New Roman"/>
        </w:rPr>
        <w:t xml:space="preserve">introduction and sustainability of </w:t>
      </w:r>
      <w:r w:rsidRPr="00C92385">
        <w:rPr>
          <w:rFonts w:cs="Times New Roman"/>
        </w:rPr>
        <w:t>multi-party democracy</w:t>
      </w:r>
      <w:r w:rsidR="00BF186F">
        <w:rPr>
          <w:rFonts w:cs="Times New Roman"/>
        </w:rPr>
        <w:t>;</w:t>
      </w:r>
      <w:r w:rsidR="00FE64B9">
        <w:rPr>
          <w:rFonts w:cs="Times New Roman"/>
        </w:rPr>
        <w:t xml:space="preserve"> </w:t>
      </w:r>
      <w:r w:rsidRPr="00C92385">
        <w:rPr>
          <w:rFonts w:cs="Times New Roman"/>
        </w:rPr>
        <w:t xml:space="preserve">Nigeria is enjoying its longest uninterrupted period of </w:t>
      </w:r>
      <w:r w:rsidR="00C936E3" w:rsidRPr="00C92385">
        <w:rPr>
          <w:rFonts w:cs="Times New Roman"/>
        </w:rPr>
        <w:t>multi-</w:t>
      </w:r>
      <w:r w:rsidRPr="00C92385">
        <w:rPr>
          <w:rFonts w:cs="Times New Roman"/>
        </w:rPr>
        <w:t xml:space="preserve">party democracy since independence in 1960. The highest decline (-4.72) </w:t>
      </w:r>
      <w:r w:rsidR="00C936E3" w:rsidRPr="00C92385">
        <w:rPr>
          <w:rFonts w:cs="Times New Roman"/>
        </w:rPr>
        <w:t xml:space="preserve">occurred in </w:t>
      </w:r>
      <w:r w:rsidRPr="00C92385">
        <w:rPr>
          <w:rFonts w:cs="Times New Roman"/>
        </w:rPr>
        <w:t>2007</w:t>
      </w:r>
      <w:r w:rsidR="00694E8B" w:rsidRPr="00C92385">
        <w:rPr>
          <w:rFonts w:cs="Times New Roman"/>
        </w:rPr>
        <w:t>; a</w:t>
      </w:r>
      <w:r w:rsidR="00BF186F">
        <w:rPr>
          <w:rFonts w:cs="Times New Roman"/>
        </w:rPr>
        <w:t xml:space="preserve">n </w:t>
      </w:r>
      <w:r w:rsidR="00694E8B" w:rsidRPr="00C92385">
        <w:rPr>
          <w:rFonts w:cs="Times New Roman"/>
        </w:rPr>
        <w:t>election year in Nigeria</w:t>
      </w:r>
      <w:r w:rsidR="00C936E3" w:rsidRPr="00C92385">
        <w:rPr>
          <w:rFonts w:cs="Times New Roman"/>
        </w:rPr>
        <w:t>. Election years in most of SSA can often be characterised by increased political risks which create uncertainties for investors because changes in governments</w:t>
      </w:r>
      <w:r w:rsidR="00694E8B" w:rsidRPr="00C92385">
        <w:rPr>
          <w:rFonts w:cs="Times New Roman"/>
        </w:rPr>
        <w:t xml:space="preserve"> results in policy changes </w:t>
      </w:r>
      <w:r w:rsidR="00B21873" w:rsidRPr="00C92385">
        <w:rPr>
          <w:rFonts w:cs="Times New Roman"/>
        </w:rPr>
        <w:t>which</w:t>
      </w:r>
      <w:r w:rsidR="00694E8B" w:rsidRPr="00C92385">
        <w:rPr>
          <w:rFonts w:cs="Times New Roman"/>
        </w:rPr>
        <w:t xml:space="preserve"> </w:t>
      </w:r>
      <w:r w:rsidR="00BF186F">
        <w:rPr>
          <w:rFonts w:cs="Times New Roman"/>
        </w:rPr>
        <w:t xml:space="preserve">can subsequently </w:t>
      </w:r>
      <w:r w:rsidR="00694E8B" w:rsidRPr="00C92385">
        <w:rPr>
          <w:rFonts w:cs="Times New Roman"/>
        </w:rPr>
        <w:t>affect investment contracts</w:t>
      </w:r>
      <w:r w:rsidR="00C936E3" w:rsidRPr="00C92385">
        <w:rPr>
          <w:rFonts w:cs="Times New Roman"/>
        </w:rPr>
        <w:t xml:space="preserve">. </w:t>
      </w:r>
      <w:r w:rsidR="00F6582A" w:rsidRPr="00C92385">
        <w:rPr>
          <w:rFonts w:cs="Times New Roman"/>
        </w:rPr>
        <w:t>From Table 5, FDI net inflow ranged from $848 Million in year 2002 to $1,483Million in year 2011. FDI grew to its highest level of $3,057million in year 2009</w:t>
      </w:r>
      <w:r w:rsidR="00BF186F">
        <w:rPr>
          <w:rFonts w:cs="Times New Roman"/>
        </w:rPr>
        <w:t>,</w:t>
      </w:r>
      <w:r w:rsidR="00F6582A" w:rsidRPr="00C92385">
        <w:rPr>
          <w:rFonts w:cs="Times New Roman"/>
        </w:rPr>
        <w:t xml:space="preserve"> but reduced in the two succeeding years. Year 2002</w:t>
      </w:r>
      <w:r w:rsidR="00FE64B9">
        <w:rPr>
          <w:rFonts w:cs="Times New Roman"/>
        </w:rPr>
        <w:t xml:space="preserve"> to</w:t>
      </w:r>
      <w:r w:rsidR="00F6582A" w:rsidRPr="00C92385">
        <w:rPr>
          <w:rFonts w:cs="Times New Roman"/>
        </w:rPr>
        <w:t xml:space="preserve"> 2003 witnessed an improvement </w:t>
      </w:r>
      <w:r w:rsidR="00FE64B9">
        <w:rPr>
          <w:rFonts w:cs="Times New Roman"/>
        </w:rPr>
        <w:t>in</w:t>
      </w:r>
      <w:r w:rsidR="00F6582A" w:rsidRPr="00C92385">
        <w:rPr>
          <w:rFonts w:cs="Times New Roman"/>
        </w:rPr>
        <w:t xml:space="preserve"> the political risk rating from 38.79 to 41.54</w:t>
      </w:r>
      <w:r w:rsidR="00E8398D">
        <w:rPr>
          <w:rFonts w:cs="Times New Roman"/>
        </w:rPr>
        <w:t xml:space="preserve">, representing a </w:t>
      </w:r>
      <w:r w:rsidR="00F6582A" w:rsidRPr="00C92385">
        <w:rPr>
          <w:rFonts w:cs="Times New Roman"/>
        </w:rPr>
        <w:t xml:space="preserve">7.09 per cent positive movement while FDI net inflows for the same period grew by 97.40 per cent. This is depicted in Figures 1 and 2. </w:t>
      </w:r>
    </w:p>
    <w:p w:rsidR="003F7427" w:rsidRDefault="00FC5E98" w:rsidP="004B0E8C">
      <w:pPr>
        <w:ind w:firstLine="720"/>
        <w:rPr>
          <w:rFonts w:cs="Times New Roman"/>
        </w:rPr>
      </w:pPr>
      <w:r w:rsidRPr="00C92385">
        <w:rPr>
          <w:rFonts w:cs="Times New Roman"/>
        </w:rPr>
        <w:t xml:space="preserve">The net percentage change in the political risk rating over the period 2002 to 2011 </w:t>
      </w:r>
      <w:r w:rsidR="00BF186F">
        <w:rPr>
          <w:rFonts w:cs="Times New Roman"/>
        </w:rPr>
        <w:t>was</w:t>
      </w:r>
      <w:r w:rsidRPr="00C92385">
        <w:rPr>
          <w:rFonts w:cs="Times New Roman"/>
        </w:rPr>
        <w:t xml:space="preserve"> 17.75 per cent meaning </w:t>
      </w:r>
      <w:r w:rsidR="00BF186F">
        <w:rPr>
          <w:rFonts w:cs="Times New Roman"/>
        </w:rPr>
        <w:t xml:space="preserve">a </w:t>
      </w:r>
      <w:r w:rsidRPr="00C92385">
        <w:rPr>
          <w:rFonts w:cs="Times New Roman"/>
        </w:rPr>
        <w:t>reduction in the risk level in the country by that margin whil</w:t>
      </w:r>
      <w:r w:rsidR="00BF186F">
        <w:rPr>
          <w:rFonts w:cs="Times New Roman"/>
        </w:rPr>
        <w:t xml:space="preserve">st </w:t>
      </w:r>
      <w:r w:rsidRPr="00C92385">
        <w:rPr>
          <w:rFonts w:cs="Times New Roman"/>
        </w:rPr>
        <w:t>FDI grew by 154.70 per cent</w:t>
      </w:r>
      <w:r w:rsidR="00BF186F">
        <w:rPr>
          <w:rFonts w:cs="Times New Roman"/>
        </w:rPr>
        <w:t>,</w:t>
      </w:r>
      <w:r w:rsidRPr="00C92385">
        <w:rPr>
          <w:rFonts w:cs="Times New Roman"/>
        </w:rPr>
        <w:t xml:space="preserve"> within the same period. This may be interpreted to mean that lower levels of political risk encouraged the inflow of FDI into the Nigerian telecommunication sector. This effect </w:t>
      </w:r>
      <w:r w:rsidR="00BF186F">
        <w:rPr>
          <w:rFonts w:cs="Times New Roman"/>
        </w:rPr>
        <w:t>is</w:t>
      </w:r>
      <w:r w:rsidRPr="00C92385">
        <w:rPr>
          <w:rFonts w:cs="Times New Roman"/>
        </w:rPr>
        <w:t xml:space="preserve"> considered significant as only 17.75 per cent change in political risk index led to 154.70 per cent change in FDI net inflows. This result is consistent with the findings of </w:t>
      </w:r>
      <w:proofErr w:type="spellStart"/>
      <w:r w:rsidRPr="00C92385">
        <w:rPr>
          <w:rFonts w:cs="Times New Roman"/>
        </w:rPr>
        <w:t>Asiedu</w:t>
      </w:r>
      <w:proofErr w:type="spellEnd"/>
      <w:r w:rsidRPr="00C92385">
        <w:rPr>
          <w:rFonts w:cs="Times New Roman"/>
        </w:rPr>
        <w:t xml:space="preserve"> (2002), </w:t>
      </w:r>
      <w:proofErr w:type="spellStart"/>
      <w:r w:rsidRPr="00C92385">
        <w:rPr>
          <w:rFonts w:cs="Times New Roman"/>
        </w:rPr>
        <w:t>Busse</w:t>
      </w:r>
      <w:proofErr w:type="spellEnd"/>
      <w:r w:rsidRPr="00C92385">
        <w:rPr>
          <w:rFonts w:cs="Times New Roman"/>
        </w:rPr>
        <w:t xml:space="preserve"> and </w:t>
      </w:r>
      <w:proofErr w:type="spellStart"/>
      <w:r w:rsidRPr="00C92385">
        <w:rPr>
          <w:rFonts w:cs="Times New Roman"/>
        </w:rPr>
        <w:t>Hefeker</w:t>
      </w:r>
      <w:proofErr w:type="spellEnd"/>
      <w:r w:rsidRPr="00C92385">
        <w:rPr>
          <w:rFonts w:cs="Times New Roman"/>
        </w:rPr>
        <w:t xml:space="preserve"> (2007), </w:t>
      </w:r>
      <w:proofErr w:type="spellStart"/>
      <w:r w:rsidRPr="00C92385">
        <w:rPr>
          <w:rFonts w:cs="Times New Roman"/>
        </w:rPr>
        <w:t>Baek</w:t>
      </w:r>
      <w:proofErr w:type="spellEnd"/>
      <w:r w:rsidRPr="00C92385">
        <w:rPr>
          <w:rFonts w:cs="Times New Roman"/>
        </w:rPr>
        <w:t xml:space="preserve"> and Q</w:t>
      </w:r>
      <w:r w:rsidR="004636C5">
        <w:rPr>
          <w:rFonts w:cs="Times New Roman"/>
        </w:rPr>
        <w:t>i</w:t>
      </w:r>
      <w:r w:rsidRPr="00C92385">
        <w:rPr>
          <w:rFonts w:cs="Times New Roman"/>
        </w:rPr>
        <w:t xml:space="preserve">an (2011), </w:t>
      </w:r>
      <w:proofErr w:type="spellStart"/>
      <w:r w:rsidRPr="00C92385">
        <w:rPr>
          <w:rFonts w:cs="Times New Roman"/>
        </w:rPr>
        <w:t>Bussman</w:t>
      </w:r>
      <w:proofErr w:type="spellEnd"/>
      <w:r w:rsidRPr="00C92385">
        <w:rPr>
          <w:rFonts w:cs="Times New Roman"/>
        </w:rPr>
        <w:t xml:space="preserve"> (2010) and Hayakawa et al. (2011).</w:t>
      </w:r>
      <w:r w:rsidR="004B0E8C">
        <w:rPr>
          <w:rFonts w:cs="Times New Roman"/>
        </w:rPr>
        <w:t xml:space="preserve"> </w:t>
      </w:r>
      <w:r w:rsidR="00BF186F">
        <w:rPr>
          <w:rFonts w:cs="Times New Roman"/>
        </w:rPr>
        <w:t>E</w:t>
      </w:r>
      <w:r w:rsidR="004B0E8C">
        <w:rPr>
          <w:rFonts w:cs="Times New Roman"/>
        </w:rPr>
        <w:t xml:space="preserve">ven though Nigeria’s political risk rating is considered high the observed improvements warranted an increase in FDI inflow. </w:t>
      </w:r>
      <w:r w:rsidR="00BF186F">
        <w:rPr>
          <w:rFonts w:cs="Times New Roman"/>
        </w:rPr>
        <w:t>Irrespective</w:t>
      </w:r>
      <w:r w:rsidR="004B0E8C">
        <w:rPr>
          <w:rFonts w:cs="Times New Roman"/>
        </w:rPr>
        <w:t xml:space="preserve"> of political risk rating</w:t>
      </w:r>
      <w:r w:rsidR="007A2B57">
        <w:rPr>
          <w:rFonts w:cs="Times New Roman"/>
        </w:rPr>
        <w:t>, even below 50% (considered high risk)</w:t>
      </w:r>
      <w:proofErr w:type="gramStart"/>
      <w:r w:rsidR="007A2B57">
        <w:rPr>
          <w:rFonts w:cs="Times New Roman"/>
        </w:rPr>
        <w:t>,</w:t>
      </w:r>
      <w:proofErr w:type="gramEnd"/>
      <w:r w:rsidR="004B0E8C">
        <w:rPr>
          <w:rFonts w:cs="Times New Roman"/>
        </w:rPr>
        <w:t xml:space="preserve"> consistent improvement</w:t>
      </w:r>
      <w:r w:rsidR="00BF186F">
        <w:rPr>
          <w:rFonts w:cs="Times New Roman"/>
        </w:rPr>
        <w:t>s</w:t>
      </w:r>
      <w:r w:rsidR="004B0E8C">
        <w:rPr>
          <w:rFonts w:cs="Times New Roman"/>
        </w:rPr>
        <w:t xml:space="preserve"> are </w:t>
      </w:r>
      <w:r w:rsidR="00BF186F">
        <w:rPr>
          <w:rFonts w:cs="Times New Roman"/>
        </w:rPr>
        <w:t>favourable</w:t>
      </w:r>
      <w:r w:rsidR="004B0E8C">
        <w:rPr>
          <w:rFonts w:cs="Times New Roman"/>
        </w:rPr>
        <w:t xml:space="preserve"> signals to foreign investor</w:t>
      </w:r>
      <w:r w:rsidR="007A2B57">
        <w:rPr>
          <w:rFonts w:cs="Times New Roman"/>
        </w:rPr>
        <w:t>s</w:t>
      </w:r>
      <w:r w:rsidR="004B0E8C">
        <w:rPr>
          <w:rFonts w:cs="Times New Roman"/>
        </w:rPr>
        <w:t>.</w:t>
      </w:r>
      <w:r w:rsidR="007A2B57">
        <w:rPr>
          <w:rFonts w:cs="Times New Roman"/>
        </w:rPr>
        <w:t xml:space="preserve"> </w:t>
      </w:r>
    </w:p>
    <w:p w:rsidR="003F7427" w:rsidRDefault="003F7427" w:rsidP="003F7427">
      <w:pPr>
        <w:ind w:firstLine="720"/>
        <w:rPr>
          <w:rFonts w:cs="Times New Roman"/>
        </w:rPr>
      </w:pPr>
      <w:r>
        <w:rPr>
          <w:rFonts w:cs="Times New Roman"/>
        </w:rPr>
        <w:t>General overview of the data indicates that some variables either remain constant or experience minimal change over the period. These include socio-economic conditions, corruption, military in politics, law and order, ethnic tensions and bureaucracy quality. Bureaucra</w:t>
      </w:r>
      <w:r w:rsidR="00B60C5F">
        <w:rPr>
          <w:rFonts w:cs="Times New Roman"/>
        </w:rPr>
        <w:t>cy</w:t>
      </w:r>
      <w:r>
        <w:rPr>
          <w:rFonts w:cs="Times New Roman"/>
        </w:rPr>
        <w:t xml:space="preserve"> quality, for example, </w:t>
      </w:r>
      <w:r w:rsidR="00BF186F">
        <w:rPr>
          <w:rFonts w:cs="Times New Roman"/>
        </w:rPr>
        <w:t xml:space="preserve">seemingly, </w:t>
      </w:r>
      <w:r>
        <w:rPr>
          <w:rFonts w:cs="Times New Roman"/>
        </w:rPr>
        <w:t>remained the same throughout the study period</w:t>
      </w:r>
      <w:r w:rsidR="00BF186F">
        <w:rPr>
          <w:rFonts w:cs="Times New Roman"/>
        </w:rPr>
        <w:t>;</w:t>
      </w:r>
      <w:r>
        <w:rPr>
          <w:rFonts w:cs="Times New Roman"/>
        </w:rPr>
        <w:t xml:space="preserve"> indicat</w:t>
      </w:r>
      <w:r w:rsidR="00BF186F">
        <w:rPr>
          <w:rFonts w:cs="Times New Roman"/>
        </w:rPr>
        <w:t>ing</w:t>
      </w:r>
      <w:r>
        <w:rPr>
          <w:rFonts w:cs="Times New Roman"/>
        </w:rPr>
        <w:t xml:space="preserve"> that, in some cases, the individual variations may not adequately explain FDI inflow. </w:t>
      </w:r>
    </w:p>
    <w:p w:rsidR="00FC5E98" w:rsidRPr="003F7427" w:rsidRDefault="00FC5E98" w:rsidP="003F7427">
      <w:pPr>
        <w:rPr>
          <w:rFonts w:cs="Times New Roman"/>
        </w:rPr>
        <w:sectPr w:rsidR="00FC5E98" w:rsidRPr="003F7427" w:rsidSect="00D77193">
          <w:footerReference w:type="default" r:id="rId10"/>
          <w:type w:val="continuous"/>
          <w:pgSz w:w="12240" w:h="15840"/>
          <w:pgMar w:top="1440" w:right="1440" w:bottom="1440" w:left="1440" w:header="720" w:footer="720" w:gutter="0"/>
          <w:pgNumType w:start="1"/>
          <w:cols w:space="720"/>
          <w:docGrid w:linePitch="360"/>
        </w:sectPr>
      </w:pPr>
    </w:p>
    <w:p w:rsidR="00266346" w:rsidRPr="00E368F9" w:rsidRDefault="00F73966" w:rsidP="00B51514">
      <w:pPr>
        <w:pStyle w:val="NoSpacing"/>
        <w:rPr>
          <w:rFonts w:ascii="Times New Roman" w:hAnsi="Times New Roman" w:cs="Times New Roman"/>
        </w:rPr>
      </w:pPr>
      <w:r w:rsidRPr="00E368F9">
        <w:rPr>
          <w:rFonts w:ascii="Times New Roman" w:hAnsi="Times New Roman" w:cs="Times New Roman"/>
          <w:b/>
          <w:bCs/>
        </w:rPr>
        <w:lastRenderedPageBreak/>
        <w:t xml:space="preserve">Table </w:t>
      </w:r>
      <w:r w:rsidR="00AE208C" w:rsidRPr="00E368F9">
        <w:rPr>
          <w:rFonts w:ascii="Times New Roman" w:hAnsi="Times New Roman" w:cs="Times New Roman"/>
          <w:b/>
          <w:bCs/>
        </w:rPr>
        <w:t>4</w:t>
      </w:r>
      <w:r w:rsidR="00266346" w:rsidRPr="00E368F9">
        <w:rPr>
          <w:rFonts w:ascii="Times New Roman" w:hAnsi="Times New Roman" w:cs="Times New Roman"/>
          <w:b/>
          <w:bCs/>
        </w:rPr>
        <w:tab/>
        <w:t>ICRG Political Risk Components Dataset for Nigeria (2002 – 2011)</w:t>
      </w:r>
    </w:p>
    <w:tbl>
      <w:tblPr>
        <w:tblStyle w:val="LightGrid-Accent11"/>
        <w:tblW w:w="12531" w:type="dxa"/>
        <w:tblLook w:val="04A0" w:firstRow="1" w:lastRow="0" w:firstColumn="1" w:lastColumn="0" w:noHBand="0" w:noVBand="1"/>
      </w:tblPr>
      <w:tblGrid>
        <w:gridCol w:w="3078"/>
        <w:gridCol w:w="813"/>
        <w:gridCol w:w="960"/>
        <w:gridCol w:w="960"/>
        <w:gridCol w:w="960"/>
        <w:gridCol w:w="960"/>
        <w:gridCol w:w="960"/>
        <w:gridCol w:w="960"/>
        <w:gridCol w:w="960"/>
        <w:gridCol w:w="960"/>
        <w:gridCol w:w="960"/>
      </w:tblGrid>
      <w:tr w:rsidR="00266346" w:rsidRPr="000D3A0E" w:rsidTr="003865A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sz w:val="18"/>
                <w:szCs w:val="18"/>
              </w:rPr>
            </w:pPr>
            <w:r w:rsidRPr="003D2936">
              <w:rPr>
                <w:rFonts w:eastAsia="Times New Roman" w:cs="Times New Roman"/>
                <w:sz w:val="18"/>
                <w:szCs w:val="18"/>
              </w:rPr>
              <w:t xml:space="preserve"> Political </w:t>
            </w:r>
            <w:r w:rsidR="00035D78" w:rsidRPr="003D2936">
              <w:rPr>
                <w:rFonts w:eastAsia="Times New Roman" w:cs="Times New Roman"/>
                <w:sz w:val="18"/>
                <w:szCs w:val="18"/>
              </w:rPr>
              <w:t xml:space="preserve">Risk </w:t>
            </w:r>
            <w:r w:rsidRPr="003D2936">
              <w:rPr>
                <w:rFonts w:eastAsia="Times New Roman" w:cs="Times New Roman"/>
                <w:sz w:val="18"/>
                <w:szCs w:val="18"/>
              </w:rPr>
              <w:t>Components</w:t>
            </w:r>
          </w:p>
        </w:tc>
        <w:tc>
          <w:tcPr>
            <w:tcW w:w="813"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2002</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2003</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2004</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2005</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2006</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2007</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2008</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2009</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2010</w:t>
            </w:r>
          </w:p>
        </w:tc>
        <w:tc>
          <w:tcPr>
            <w:tcW w:w="960" w:type="dxa"/>
            <w:noWrap/>
            <w:hideMark/>
          </w:tcPr>
          <w:p w:rsidR="00266346" w:rsidRPr="003D2936" w:rsidRDefault="00266346" w:rsidP="00B108CE">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2011</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Government Stability</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6.88</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7.63</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7.79</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7.92</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7.92</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7.17</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7.96</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7.54</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8.00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Socio-economic Conditions</w:t>
            </w:r>
          </w:p>
        </w:tc>
        <w:tc>
          <w:tcPr>
            <w:tcW w:w="81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1.67</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1.54</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Investment Profile</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4.54</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4.04</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4.50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4.88</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6.13</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6.04</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6.50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Internal Conflict</w:t>
            </w:r>
          </w:p>
        </w:tc>
        <w:tc>
          <w:tcPr>
            <w:tcW w:w="81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4.58</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6.13</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7.42</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6.17</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5.67</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5.58</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6.17</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6.58</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6.50</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External Conflict</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11.08</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10.58</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9.67</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9.21</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9.50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Corruption</w:t>
            </w:r>
          </w:p>
        </w:tc>
        <w:tc>
          <w:tcPr>
            <w:tcW w:w="81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1.33</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Military in Politics</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1.67</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Religion in Politics</w:t>
            </w:r>
          </w:p>
        </w:tc>
        <w:tc>
          <w:tcPr>
            <w:tcW w:w="81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0.50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1.42</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1.96</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Law and Order</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1.67</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Ethnic Tensions</w:t>
            </w:r>
          </w:p>
        </w:tc>
        <w:tc>
          <w:tcPr>
            <w:tcW w:w="81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1.58</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Democratic Accountability</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3.04</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3.17</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3.42</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3.79</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3.50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b w:val="0"/>
                <w:sz w:val="18"/>
                <w:szCs w:val="18"/>
              </w:rPr>
            </w:pPr>
            <w:r w:rsidRPr="003D2936">
              <w:rPr>
                <w:rFonts w:eastAsia="Times New Roman" w:cs="Times New Roman"/>
                <w:sz w:val="18"/>
                <w:szCs w:val="18"/>
              </w:rPr>
              <w:t>Bureaucracy Quality</w:t>
            </w:r>
          </w:p>
        </w:tc>
        <w:tc>
          <w:tcPr>
            <w:tcW w:w="81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1.00</w:t>
            </w:r>
          </w:p>
        </w:tc>
      </w:tr>
      <w:tr w:rsidR="00266346" w:rsidRPr="000D3A0E" w:rsidTr="003865A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sz w:val="18"/>
                <w:szCs w:val="18"/>
              </w:rPr>
            </w:pPr>
            <w:r w:rsidRPr="003D2936">
              <w:rPr>
                <w:rFonts w:eastAsia="Times New Roman" w:cs="Times New Roman"/>
                <w:sz w:val="18"/>
                <w:szCs w:val="18"/>
              </w:rPr>
              <w:t>Total</w:t>
            </w:r>
          </w:p>
        </w:tc>
        <w:tc>
          <w:tcPr>
            <w:tcW w:w="813"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38.79</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41.54</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43.71</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44.21</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46.00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43.83</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43.50</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45.63</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45.29</w:t>
            </w:r>
          </w:p>
        </w:tc>
        <w:tc>
          <w:tcPr>
            <w:tcW w:w="960" w:type="dxa"/>
            <w:noWrap/>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46.00</w:t>
            </w:r>
          </w:p>
        </w:tc>
      </w:tr>
      <w:tr w:rsidR="00266346" w:rsidRPr="000D3A0E" w:rsidTr="003865A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8" w:type="dxa"/>
            <w:noWrap/>
            <w:hideMark/>
          </w:tcPr>
          <w:p w:rsidR="00266346" w:rsidRPr="003D2936" w:rsidRDefault="00266346" w:rsidP="00B108CE">
            <w:pPr>
              <w:rPr>
                <w:rFonts w:eastAsia="Times New Roman" w:cs="Times New Roman"/>
                <w:sz w:val="18"/>
                <w:szCs w:val="18"/>
              </w:rPr>
            </w:pPr>
            <w:r w:rsidRPr="003D2936">
              <w:rPr>
                <w:rFonts w:eastAsia="Times New Roman" w:cs="Times New Roman"/>
                <w:sz w:val="18"/>
                <w:szCs w:val="18"/>
              </w:rPr>
              <w:t>Annual Percentage Change</w:t>
            </w:r>
          </w:p>
        </w:tc>
        <w:tc>
          <w:tcPr>
            <w:tcW w:w="813" w:type="dxa"/>
            <w:noWrap/>
            <w:hideMark/>
          </w:tcPr>
          <w:p w:rsidR="00266346" w:rsidRPr="003D2936" w:rsidRDefault="00266346" w:rsidP="00B108CE">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0.00</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7.09</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5.22</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1.14</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4.05</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-4.72</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-0.75</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4.9</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-0.75</w:t>
            </w:r>
          </w:p>
        </w:tc>
        <w:tc>
          <w:tcPr>
            <w:tcW w:w="96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8"/>
                <w:szCs w:val="18"/>
              </w:rPr>
            </w:pPr>
            <w:r w:rsidRPr="003D2936">
              <w:rPr>
                <w:rFonts w:eastAsia="Times New Roman" w:cs="Times New Roman"/>
                <w:b/>
                <w:bCs/>
                <w:sz w:val="18"/>
                <w:szCs w:val="18"/>
              </w:rPr>
              <w:t>1.57</w:t>
            </w:r>
          </w:p>
        </w:tc>
      </w:tr>
    </w:tbl>
    <w:p w:rsidR="00266346" w:rsidRPr="003D2936" w:rsidRDefault="00266346" w:rsidP="00B108CE">
      <w:pPr>
        <w:rPr>
          <w:rFonts w:cs="Times New Roman"/>
          <w:sz w:val="18"/>
          <w:szCs w:val="18"/>
        </w:rPr>
      </w:pPr>
      <w:r w:rsidRPr="003D2936">
        <w:rPr>
          <w:rFonts w:cs="Times New Roman"/>
          <w:sz w:val="18"/>
          <w:szCs w:val="18"/>
        </w:rPr>
        <w:t>Source: Extracted from PRS International Country Risk Guide (ICRG) Researchers’ Dataset (2013)</w:t>
      </w:r>
    </w:p>
    <w:p w:rsidR="00266346" w:rsidRPr="00C92385" w:rsidRDefault="00266346" w:rsidP="00B108CE">
      <w:pPr>
        <w:rPr>
          <w:rFonts w:cs="Times New Roman"/>
          <w:sz w:val="16"/>
          <w:szCs w:val="16"/>
        </w:rPr>
      </w:pPr>
    </w:p>
    <w:p w:rsidR="00266346" w:rsidRPr="00E368F9" w:rsidRDefault="00F73966" w:rsidP="00B51514">
      <w:pPr>
        <w:pStyle w:val="NoSpacing"/>
        <w:rPr>
          <w:rFonts w:ascii="Times New Roman" w:hAnsi="Times New Roman" w:cs="Times New Roman"/>
          <w:b/>
          <w:bCs/>
        </w:rPr>
      </w:pPr>
      <w:r w:rsidRPr="00E368F9">
        <w:rPr>
          <w:rFonts w:ascii="Times New Roman" w:hAnsi="Times New Roman" w:cs="Times New Roman"/>
          <w:b/>
          <w:bCs/>
        </w:rPr>
        <w:t xml:space="preserve">Table </w:t>
      </w:r>
      <w:r w:rsidR="00AE208C" w:rsidRPr="00E368F9">
        <w:rPr>
          <w:rFonts w:ascii="Times New Roman" w:hAnsi="Times New Roman" w:cs="Times New Roman"/>
          <w:b/>
          <w:bCs/>
        </w:rPr>
        <w:t>5</w:t>
      </w:r>
      <w:r w:rsidR="00266346" w:rsidRPr="00E368F9">
        <w:rPr>
          <w:rFonts w:ascii="Times New Roman" w:hAnsi="Times New Roman" w:cs="Times New Roman"/>
          <w:b/>
          <w:bCs/>
        </w:rPr>
        <w:tab/>
        <w:t xml:space="preserve">FDI net inflows into the Nigeria </w:t>
      </w:r>
      <w:r w:rsidR="00385C55" w:rsidRPr="00E368F9">
        <w:rPr>
          <w:rFonts w:ascii="Times New Roman" w:hAnsi="Times New Roman" w:cs="Times New Roman"/>
          <w:b/>
          <w:bCs/>
        </w:rPr>
        <w:t>Telecommunications Industry</w:t>
      </w:r>
      <w:r w:rsidR="00266346" w:rsidRPr="00E368F9">
        <w:rPr>
          <w:rFonts w:ascii="Times New Roman" w:hAnsi="Times New Roman" w:cs="Times New Roman"/>
          <w:b/>
          <w:bCs/>
        </w:rPr>
        <w:t xml:space="preserve"> (2002 – 2011)</w:t>
      </w:r>
    </w:p>
    <w:tbl>
      <w:tblPr>
        <w:tblStyle w:val="LightGrid-Accent11"/>
        <w:tblW w:w="12618" w:type="dxa"/>
        <w:tblLook w:val="04A0" w:firstRow="1" w:lastRow="0" w:firstColumn="1" w:lastColumn="0" w:noHBand="0" w:noVBand="1"/>
      </w:tblPr>
      <w:tblGrid>
        <w:gridCol w:w="2867"/>
        <w:gridCol w:w="817"/>
        <w:gridCol w:w="1015"/>
        <w:gridCol w:w="989"/>
        <w:gridCol w:w="1080"/>
        <w:gridCol w:w="1080"/>
        <w:gridCol w:w="990"/>
        <w:gridCol w:w="1080"/>
        <w:gridCol w:w="900"/>
        <w:gridCol w:w="817"/>
        <w:gridCol w:w="983"/>
      </w:tblGrid>
      <w:tr w:rsidR="00266346" w:rsidRPr="003D2936" w:rsidTr="003865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dxa"/>
            <w:noWrap/>
            <w:hideMark/>
          </w:tcPr>
          <w:p w:rsidR="00266346" w:rsidRPr="003D2936" w:rsidRDefault="00266346" w:rsidP="00B108CE">
            <w:pPr>
              <w:rPr>
                <w:rFonts w:eastAsia="Times New Roman" w:cs="Times New Roman"/>
                <w:sz w:val="18"/>
                <w:szCs w:val="18"/>
              </w:rPr>
            </w:pPr>
            <w:r w:rsidRPr="003D2936">
              <w:rPr>
                <w:rFonts w:eastAsia="Times New Roman" w:cs="Times New Roman"/>
                <w:sz w:val="18"/>
                <w:szCs w:val="18"/>
              </w:rPr>
              <w:t>Indicator Name</w:t>
            </w:r>
          </w:p>
        </w:tc>
        <w:tc>
          <w:tcPr>
            <w:tcW w:w="817"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2002</w:t>
            </w:r>
          </w:p>
        </w:tc>
        <w:tc>
          <w:tcPr>
            <w:tcW w:w="1015"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2003</w:t>
            </w:r>
          </w:p>
        </w:tc>
        <w:tc>
          <w:tcPr>
            <w:tcW w:w="989"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2004</w:t>
            </w:r>
          </w:p>
        </w:tc>
        <w:tc>
          <w:tcPr>
            <w:tcW w:w="1080"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2005</w:t>
            </w:r>
          </w:p>
        </w:tc>
        <w:tc>
          <w:tcPr>
            <w:tcW w:w="1080"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2006</w:t>
            </w:r>
          </w:p>
        </w:tc>
        <w:tc>
          <w:tcPr>
            <w:tcW w:w="990"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2007</w:t>
            </w:r>
          </w:p>
        </w:tc>
        <w:tc>
          <w:tcPr>
            <w:tcW w:w="1080"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2008</w:t>
            </w:r>
          </w:p>
        </w:tc>
        <w:tc>
          <w:tcPr>
            <w:tcW w:w="900"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2009</w:t>
            </w:r>
          </w:p>
        </w:tc>
        <w:tc>
          <w:tcPr>
            <w:tcW w:w="817"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2010</w:t>
            </w:r>
          </w:p>
        </w:tc>
        <w:tc>
          <w:tcPr>
            <w:tcW w:w="983" w:type="dxa"/>
            <w:noWrap/>
            <w:hideMark/>
          </w:tcPr>
          <w:p w:rsidR="00266346" w:rsidRPr="003D2936" w:rsidRDefault="00266346" w:rsidP="00B108CE">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2011</w:t>
            </w:r>
          </w:p>
        </w:tc>
      </w:tr>
      <w:tr w:rsidR="00266346" w:rsidRPr="003D2936" w:rsidTr="003865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67" w:type="dxa"/>
            <w:hideMark/>
          </w:tcPr>
          <w:p w:rsidR="00266346" w:rsidRPr="003D2936" w:rsidRDefault="00266346" w:rsidP="00B108CE">
            <w:pPr>
              <w:rPr>
                <w:rFonts w:eastAsia="Times New Roman" w:cs="Times New Roman"/>
                <w:sz w:val="18"/>
                <w:szCs w:val="18"/>
              </w:rPr>
            </w:pPr>
            <w:r w:rsidRPr="003D2936">
              <w:rPr>
                <w:rFonts w:eastAsia="Times New Roman" w:cs="Times New Roman"/>
                <w:sz w:val="18"/>
                <w:szCs w:val="18"/>
              </w:rPr>
              <w:t>Nigeria Telecomm FDI net inflows (US $M)</w:t>
            </w:r>
          </w:p>
        </w:tc>
        <w:tc>
          <w:tcPr>
            <w:tcW w:w="817"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848</w:t>
            </w:r>
          </w:p>
        </w:tc>
        <w:tc>
          <w:tcPr>
            <w:tcW w:w="1015"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1,674</w:t>
            </w:r>
          </w:p>
        </w:tc>
        <w:tc>
          <w:tcPr>
            <w:tcW w:w="989"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1,070</w:t>
            </w:r>
          </w:p>
        </w:tc>
        <w:tc>
          <w:tcPr>
            <w:tcW w:w="1080"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2,312</w:t>
            </w:r>
          </w:p>
        </w:tc>
        <w:tc>
          <w:tcPr>
            <w:tcW w:w="1080"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2,535</w:t>
            </w:r>
          </w:p>
        </w:tc>
        <w:tc>
          <w:tcPr>
            <w:tcW w:w="990"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2,761</w:t>
            </w:r>
          </w:p>
        </w:tc>
        <w:tc>
          <w:tcPr>
            <w:tcW w:w="1080"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2,995</w:t>
            </w:r>
          </w:p>
        </w:tc>
        <w:tc>
          <w:tcPr>
            <w:tcW w:w="900"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3,057</w:t>
            </w:r>
          </w:p>
        </w:tc>
        <w:tc>
          <w:tcPr>
            <w:tcW w:w="817"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3,036</w:t>
            </w:r>
          </w:p>
        </w:tc>
        <w:tc>
          <w:tcPr>
            <w:tcW w:w="983" w:type="dxa"/>
            <w:hideMark/>
          </w:tcPr>
          <w:p w:rsidR="00266346" w:rsidRPr="003D2936" w:rsidRDefault="00266346" w:rsidP="00B108C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1,483</w:t>
            </w:r>
          </w:p>
        </w:tc>
      </w:tr>
      <w:tr w:rsidR="00266346" w:rsidRPr="003D2936" w:rsidTr="003865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7" w:type="dxa"/>
            <w:noWrap/>
            <w:hideMark/>
          </w:tcPr>
          <w:p w:rsidR="00266346" w:rsidRPr="003D2936" w:rsidRDefault="00266346" w:rsidP="00B108CE">
            <w:pPr>
              <w:rPr>
                <w:rFonts w:eastAsia="Times New Roman" w:cs="Times New Roman"/>
                <w:sz w:val="18"/>
                <w:szCs w:val="18"/>
              </w:rPr>
            </w:pPr>
            <w:r w:rsidRPr="003D2936">
              <w:rPr>
                <w:rFonts w:eastAsia="Times New Roman" w:cs="Times New Roman"/>
                <w:sz w:val="18"/>
                <w:szCs w:val="18"/>
              </w:rPr>
              <w:t>Annual % Change</w:t>
            </w:r>
          </w:p>
        </w:tc>
        <w:tc>
          <w:tcPr>
            <w:tcW w:w="817"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0.00</w:t>
            </w:r>
          </w:p>
        </w:tc>
        <w:tc>
          <w:tcPr>
            <w:tcW w:w="1015"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97.40</w:t>
            </w:r>
          </w:p>
        </w:tc>
        <w:tc>
          <w:tcPr>
            <w:tcW w:w="989"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-36.08</w:t>
            </w:r>
          </w:p>
        </w:tc>
        <w:tc>
          <w:tcPr>
            <w:tcW w:w="108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116.07</w:t>
            </w:r>
          </w:p>
        </w:tc>
        <w:tc>
          <w:tcPr>
            <w:tcW w:w="108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9.65</w:t>
            </w:r>
          </w:p>
        </w:tc>
        <w:tc>
          <w:tcPr>
            <w:tcW w:w="99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8.91</w:t>
            </w:r>
          </w:p>
        </w:tc>
        <w:tc>
          <w:tcPr>
            <w:tcW w:w="108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8.49</w:t>
            </w:r>
          </w:p>
        </w:tc>
        <w:tc>
          <w:tcPr>
            <w:tcW w:w="900"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2.07</w:t>
            </w:r>
          </w:p>
        </w:tc>
        <w:tc>
          <w:tcPr>
            <w:tcW w:w="817"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-0.69</w:t>
            </w:r>
          </w:p>
        </w:tc>
        <w:tc>
          <w:tcPr>
            <w:tcW w:w="983" w:type="dxa"/>
            <w:noWrap/>
            <w:hideMark/>
          </w:tcPr>
          <w:p w:rsidR="00266346" w:rsidRPr="003D2936" w:rsidRDefault="00266346" w:rsidP="00B108CE">
            <w:pPr>
              <w:jc w:val="right"/>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3D2936">
              <w:rPr>
                <w:rFonts w:eastAsia="Times New Roman" w:cs="Times New Roman"/>
                <w:sz w:val="18"/>
                <w:szCs w:val="18"/>
              </w:rPr>
              <w:t>-51.12</w:t>
            </w:r>
          </w:p>
        </w:tc>
      </w:tr>
    </w:tbl>
    <w:p w:rsidR="00266346" w:rsidRPr="003D2936" w:rsidRDefault="007D6D75" w:rsidP="00B108CE">
      <w:pPr>
        <w:rPr>
          <w:rFonts w:cs="Times New Roman"/>
          <w:sz w:val="18"/>
          <w:szCs w:val="18"/>
        </w:rPr>
      </w:pPr>
      <w:r w:rsidRPr="003D2936">
        <w:rPr>
          <w:rFonts w:cs="Times New Roman"/>
          <w:sz w:val="18"/>
          <w:szCs w:val="18"/>
        </w:rPr>
        <w:t>Source</w:t>
      </w:r>
      <w:r w:rsidR="00A63DBF" w:rsidRPr="003D2936">
        <w:rPr>
          <w:rFonts w:cs="Times New Roman"/>
          <w:sz w:val="18"/>
          <w:szCs w:val="18"/>
        </w:rPr>
        <w:t>s</w:t>
      </w:r>
      <w:r w:rsidRPr="003D2936">
        <w:rPr>
          <w:rFonts w:cs="Times New Roman"/>
          <w:sz w:val="18"/>
          <w:szCs w:val="18"/>
        </w:rPr>
        <w:t>: World Bank (</w:t>
      </w:r>
      <w:r w:rsidR="00266346" w:rsidRPr="003D2936">
        <w:rPr>
          <w:rFonts w:cs="Times New Roman"/>
          <w:sz w:val="18"/>
          <w:szCs w:val="18"/>
        </w:rPr>
        <w:t>2013)</w:t>
      </w:r>
      <w:r w:rsidR="00A63DBF" w:rsidRPr="003D2936">
        <w:rPr>
          <w:rFonts w:cs="Times New Roman"/>
          <w:sz w:val="18"/>
          <w:szCs w:val="18"/>
        </w:rPr>
        <w:t xml:space="preserve"> and Nigeria Bureau of Statistics</w:t>
      </w:r>
    </w:p>
    <w:p w:rsidR="001E7DA4" w:rsidRDefault="001E7DA4" w:rsidP="00B108CE">
      <w:pPr>
        <w:rPr>
          <w:rFonts w:cs="Times New Roman"/>
        </w:rPr>
      </w:pPr>
    </w:p>
    <w:p w:rsidR="003D2936" w:rsidRDefault="003D2936" w:rsidP="00B108CE">
      <w:pPr>
        <w:rPr>
          <w:rFonts w:cs="Times New Roman"/>
        </w:rPr>
      </w:pPr>
    </w:p>
    <w:p w:rsidR="003D2936" w:rsidRDefault="003D2936" w:rsidP="00B108CE">
      <w:pPr>
        <w:rPr>
          <w:rFonts w:cs="Times New Roman"/>
        </w:rPr>
      </w:pPr>
    </w:p>
    <w:p w:rsidR="003D2936" w:rsidRDefault="003D2936" w:rsidP="00B108CE">
      <w:pPr>
        <w:rPr>
          <w:rFonts w:cs="Times New Roman"/>
        </w:rPr>
      </w:pPr>
    </w:p>
    <w:p w:rsidR="00F6582A" w:rsidRDefault="00F6582A" w:rsidP="0094415D">
      <w:pPr>
        <w:rPr>
          <w:rFonts w:cs="Times New Roman"/>
        </w:rPr>
        <w:sectPr w:rsidR="00F6582A" w:rsidSect="00F6582A">
          <w:pgSz w:w="15840" w:h="12240" w:orient="landscape"/>
          <w:pgMar w:top="1440" w:right="1440" w:bottom="1440" w:left="1440" w:header="709" w:footer="709" w:gutter="0"/>
          <w:cols w:space="708"/>
          <w:docGrid w:linePitch="360"/>
        </w:sectPr>
      </w:pPr>
    </w:p>
    <w:p w:rsidR="000F3219" w:rsidRPr="00E368F9" w:rsidRDefault="00266346" w:rsidP="000F3219">
      <w:pPr>
        <w:pStyle w:val="NoSpacing"/>
        <w:spacing w:line="360" w:lineRule="auto"/>
        <w:rPr>
          <w:rFonts w:ascii="Times New Roman" w:hAnsi="Times New Roman" w:cs="Times New Roman"/>
          <w:lang w:val="en-US"/>
        </w:rPr>
      </w:pPr>
      <w:r w:rsidRPr="00E368F9">
        <w:rPr>
          <w:rFonts w:ascii="Times New Roman" w:hAnsi="Times New Roman" w:cs="Times New Roman"/>
          <w:b/>
        </w:rPr>
        <w:lastRenderedPageBreak/>
        <w:t xml:space="preserve">Figure </w:t>
      </w:r>
      <w:r w:rsidR="00AE208C" w:rsidRPr="00E368F9">
        <w:rPr>
          <w:rFonts w:ascii="Times New Roman" w:hAnsi="Times New Roman" w:cs="Times New Roman"/>
          <w:b/>
        </w:rPr>
        <w:t>1</w:t>
      </w:r>
      <w:r w:rsidRPr="00E368F9">
        <w:rPr>
          <w:rFonts w:ascii="Times New Roman" w:hAnsi="Times New Roman" w:cs="Times New Roman"/>
        </w:rPr>
        <w:t xml:space="preserve"> </w:t>
      </w:r>
      <w:r w:rsidR="000F3219" w:rsidRPr="00E368F9">
        <w:rPr>
          <w:rFonts w:ascii="Times New Roman" w:hAnsi="Times New Roman" w:cs="Times New Roman"/>
          <w:b/>
          <w:bCs/>
        </w:rPr>
        <w:t xml:space="preserve">Percentage Change in Political Components and FDI </w:t>
      </w:r>
      <w:r w:rsidR="004B0E8C">
        <w:rPr>
          <w:rFonts w:ascii="Times New Roman" w:hAnsi="Times New Roman" w:cs="Times New Roman"/>
          <w:b/>
          <w:bCs/>
        </w:rPr>
        <w:t>(2002 to 2011)</w:t>
      </w:r>
    </w:p>
    <w:p w:rsidR="00266346" w:rsidRPr="00C92385" w:rsidRDefault="00614CF8" w:rsidP="00B108CE">
      <w:pPr>
        <w:rPr>
          <w:rFonts w:cs="Times New Roman"/>
          <w:sz w:val="20"/>
          <w:szCs w:val="20"/>
        </w:rPr>
      </w:pPr>
      <w:r w:rsidRPr="00C92385">
        <w:rPr>
          <w:rFonts w:cs="Times New Roman"/>
          <w:noProof/>
        </w:rPr>
        <w:drawing>
          <wp:inline distT="0" distB="0" distL="0" distR="0" wp14:anchorId="2BF30C1E" wp14:editId="26249FC2">
            <wp:extent cx="5645426" cy="2608028"/>
            <wp:effectExtent l="0" t="0" r="0" b="19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6E90" w:rsidRPr="00E8398D" w:rsidRDefault="00A36E90" w:rsidP="000F3219">
      <w:pPr>
        <w:rPr>
          <w:rFonts w:cs="Times New Roman"/>
          <w:b/>
          <w:sz w:val="20"/>
          <w:szCs w:val="20"/>
        </w:rPr>
      </w:pPr>
    </w:p>
    <w:p w:rsidR="000F3219" w:rsidRPr="00C92385" w:rsidRDefault="00266346" w:rsidP="000F3219">
      <w:pPr>
        <w:rPr>
          <w:rFonts w:cs="Times New Roman"/>
          <w:b/>
          <w:bCs/>
        </w:rPr>
      </w:pPr>
      <w:r w:rsidRPr="00C92385">
        <w:rPr>
          <w:rFonts w:cs="Times New Roman"/>
          <w:b/>
        </w:rPr>
        <w:t xml:space="preserve">Figure </w:t>
      </w:r>
      <w:r w:rsidR="00AE208C" w:rsidRPr="00C92385">
        <w:rPr>
          <w:rFonts w:cs="Times New Roman"/>
          <w:b/>
        </w:rPr>
        <w:t>2</w:t>
      </w:r>
      <w:r w:rsidRPr="00C92385">
        <w:rPr>
          <w:rFonts w:cs="Times New Roman"/>
          <w:b/>
        </w:rPr>
        <w:t xml:space="preserve"> </w:t>
      </w:r>
      <w:r w:rsidR="000F3219" w:rsidRPr="00C92385">
        <w:rPr>
          <w:rFonts w:cs="Times New Roman"/>
          <w:b/>
          <w:bCs/>
        </w:rPr>
        <w:t xml:space="preserve">Percentage Change in Political Components and FDI </w:t>
      </w:r>
      <w:r w:rsidR="004B0E8C">
        <w:rPr>
          <w:rFonts w:cs="Times New Roman"/>
          <w:b/>
          <w:bCs/>
        </w:rPr>
        <w:t>(2002 to 2011)</w:t>
      </w:r>
    </w:p>
    <w:p w:rsidR="00266346" w:rsidRPr="00C92385" w:rsidRDefault="00967A19" w:rsidP="00B108CE">
      <w:pPr>
        <w:rPr>
          <w:rFonts w:cs="Times New Roman"/>
          <w:sz w:val="28"/>
          <w:szCs w:val="28"/>
        </w:rPr>
      </w:pPr>
      <w:r w:rsidRPr="00C92385">
        <w:rPr>
          <w:rFonts w:cs="Times New Roman"/>
          <w:noProof/>
        </w:rPr>
        <w:drawing>
          <wp:inline distT="0" distB="0" distL="0" distR="0" wp14:anchorId="6611AC8B" wp14:editId="4F152CE2">
            <wp:extent cx="5645426" cy="263188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398D" w:rsidRDefault="00E8398D" w:rsidP="002119EC">
      <w:pPr>
        <w:rPr>
          <w:rFonts w:cs="Times New Roman"/>
          <w:i/>
        </w:rPr>
      </w:pPr>
    </w:p>
    <w:p w:rsidR="002119EC" w:rsidRPr="002119EC" w:rsidRDefault="002119EC" w:rsidP="002119EC">
      <w:pPr>
        <w:rPr>
          <w:rFonts w:cs="Times New Roman"/>
          <w:i/>
        </w:rPr>
      </w:pPr>
      <w:r w:rsidRPr="002119EC">
        <w:rPr>
          <w:rFonts w:cs="Times New Roman"/>
          <w:i/>
        </w:rPr>
        <w:t xml:space="preserve">FDI Inflow and Individual Political Risk Components </w:t>
      </w:r>
    </w:p>
    <w:p w:rsidR="004B5203" w:rsidRPr="007A2B57" w:rsidRDefault="003F7427" w:rsidP="002119EC">
      <w:pPr>
        <w:rPr>
          <w:rFonts w:cs="Times New Roman"/>
          <w:sz w:val="20"/>
          <w:szCs w:val="20"/>
        </w:rPr>
        <w:sectPr w:rsidR="004B5203" w:rsidRPr="007A2B57" w:rsidSect="004B5203">
          <w:pgSz w:w="12240" w:h="15840"/>
          <w:pgMar w:top="1440" w:right="1440" w:bottom="1440" w:left="1440" w:header="709" w:footer="709" w:gutter="0"/>
          <w:cols w:space="708"/>
          <w:docGrid w:linePitch="360"/>
        </w:sectPr>
      </w:pPr>
      <w:r>
        <w:rPr>
          <w:rFonts w:cs="Times New Roman"/>
        </w:rPr>
        <w:t xml:space="preserve">To evaluate the relationships further we generate correlation and regression results with the aim of ordering the importance of the variables. </w:t>
      </w:r>
      <w:r w:rsidR="007A2B57">
        <w:rPr>
          <w:rFonts w:cs="Times New Roman"/>
        </w:rPr>
        <w:t xml:space="preserve">Table 6 </w:t>
      </w:r>
      <w:r w:rsidR="002119EC">
        <w:rPr>
          <w:rFonts w:cs="Times New Roman"/>
        </w:rPr>
        <w:t>depicts the</w:t>
      </w:r>
      <w:r w:rsidR="007A2B57">
        <w:rPr>
          <w:rFonts w:cs="Times New Roman"/>
        </w:rPr>
        <w:t xml:space="preserve"> relationship between </w:t>
      </w:r>
      <w:r w:rsidR="002119EC">
        <w:rPr>
          <w:rFonts w:cs="Times New Roman"/>
        </w:rPr>
        <w:t xml:space="preserve">all variables with particular focus on the relationship between net telecommunications FDI inflow (dependent variable) and the political risk component </w:t>
      </w:r>
      <w:r w:rsidR="007A2B57">
        <w:rPr>
          <w:rFonts w:cs="Times New Roman"/>
        </w:rPr>
        <w:t xml:space="preserve">variables </w:t>
      </w:r>
      <w:r w:rsidR="002119EC">
        <w:rPr>
          <w:rFonts w:cs="Times New Roman"/>
        </w:rPr>
        <w:t>(independent variable</w:t>
      </w:r>
      <w:r w:rsidR="00E8398D">
        <w:rPr>
          <w:rFonts w:cs="Times New Roman"/>
        </w:rPr>
        <w:t>s</w:t>
      </w:r>
      <w:r w:rsidR="002119EC">
        <w:rPr>
          <w:rFonts w:cs="Times New Roman"/>
        </w:rPr>
        <w:t>).</w:t>
      </w:r>
      <w:r w:rsidRPr="003F7427">
        <w:rPr>
          <w:rFonts w:cs="Times New Roman"/>
        </w:rPr>
        <w:t xml:space="preserve"> </w:t>
      </w:r>
      <w:r>
        <w:rPr>
          <w:rFonts w:cs="Times New Roman"/>
        </w:rPr>
        <w:t>The relationships between all the variables</w:t>
      </w:r>
      <w:r w:rsidR="00844C41">
        <w:rPr>
          <w:rFonts w:cs="Times New Roman"/>
        </w:rPr>
        <w:t xml:space="preserve">, including composite political risk </w:t>
      </w:r>
      <w:r>
        <w:rPr>
          <w:rFonts w:cs="Times New Roman"/>
        </w:rPr>
        <w:t>have also been shown</w:t>
      </w:r>
      <w:r w:rsidR="00540ED9">
        <w:rPr>
          <w:rFonts w:cs="Times New Roman"/>
        </w:rPr>
        <w:t xml:space="preserve"> in T</w:t>
      </w:r>
      <w:r w:rsidR="00647EE6">
        <w:rPr>
          <w:rFonts w:cs="Times New Roman"/>
        </w:rPr>
        <w:t>able 6</w:t>
      </w:r>
      <w:r w:rsidR="00844C41">
        <w:rPr>
          <w:rFonts w:cs="Times New Roman"/>
        </w:rPr>
        <w:t>.</w:t>
      </w:r>
      <w:r>
        <w:rPr>
          <w:rFonts w:cs="Times New Roman"/>
        </w:rPr>
        <w:t xml:space="preserve"> </w:t>
      </w:r>
    </w:p>
    <w:p w:rsidR="00A36E90" w:rsidRPr="00A36E90" w:rsidRDefault="00A36E90" w:rsidP="00A36E90">
      <w:pPr>
        <w:rPr>
          <w:rFonts w:cs="Times New Roman"/>
          <w:b/>
          <w:sz w:val="20"/>
          <w:szCs w:val="20"/>
        </w:rPr>
      </w:pPr>
      <w:r w:rsidRPr="00A36E90">
        <w:rPr>
          <w:rFonts w:cs="Times New Roman"/>
          <w:b/>
          <w:sz w:val="20"/>
          <w:szCs w:val="20"/>
        </w:rPr>
        <w:lastRenderedPageBreak/>
        <w:t>Table 6 Correlation Matrix Net FDI Flow and Political Risk Components</w:t>
      </w:r>
    </w:p>
    <w:tbl>
      <w:tblPr>
        <w:tblStyle w:val="TableGrid"/>
        <w:tblW w:w="14743" w:type="dxa"/>
        <w:tblInd w:w="-743" w:type="dxa"/>
        <w:tblLayout w:type="fixed"/>
        <w:tblLook w:val="04A0" w:firstRow="1" w:lastRow="0" w:firstColumn="1" w:lastColumn="0" w:noHBand="0" w:noVBand="1"/>
      </w:tblPr>
      <w:tblGrid>
        <w:gridCol w:w="1702"/>
        <w:gridCol w:w="992"/>
        <w:gridCol w:w="851"/>
        <w:gridCol w:w="850"/>
        <w:gridCol w:w="851"/>
        <w:gridCol w:w="850"/>
        <w:gridCol w:w="851"/>
        <w:gridCol w:w="850"/>
        <w:gridCol w:w="851"/>
        <w:gridCol w:w="850"/>
        <w:gridCol w:w="851"/>
        <w:gridCol w:w="850"/>
        <w:gridCol w:w="851"/>
        <w:gridCol w:w="850"/>
        <w:gridCol w:w="567"/>
        <w:gridCol w:w="709"/>
        <w:gridCol w:w="567"/>
      </w:tblGrid>
      <w:tr w:rsidR="00B60C5F" w:rsidRPr="00A36E90" w:rsidTr="00B60C5F">
        <w:tc>
          <w:tcPr>
            <w:tcW w:w="1702" w:type="dxa"/>
          </w:tcPr>
          <w:p w:rsidR="00B60C5F" w:rsidRPr="00A36E90" w:rsidRDefault="00FF6E75" w:rsidP="0072778A">
            <w:pPr>
              <w:spacing w:line="240" w:lineRule="auto"/>
              <w:jc w:val="left"/>
              <w:rPr>
                <w:rFonts w:cs="Times New Roman"/>
                <w:b/>
                <w:sz w:val="18"/>
                <w:szCs w:val="18"/>
              </w:rPr>
            </w:pPr>
            <w:r>
              <w:rPr>
                <w:rFonts w:cs="Times New Roman"/>
                <w:b/>
                <w:sz w:val="18"/>
                <w:szCs w:val="18"/>
              </w:rPr>
              <w:t>Variable</w:t>
            </w:r>
          </w:p>
        </w:tc>
        <w:tc>
          <w:tcPr>
            <w:tcW w:w="992"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Mean</w:t>
            </w:r>
          </w:p>
        </w:tc>
        <w:tc>
          <w:tcPr>
            <w:tcW w:w="851"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SD</w:t>
            </w:r>
          </w:p>
        </w:tc>
        <w:tc>
          <w:tcPr>
            <w:tcW w:w="850"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1</w:t>
            </w:r>
          </w:p>
        </w:tc>
        <w:tc>
          <w:tcPr>
            <w:tcW w:w="851"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2</w:t>
            </w:r>
          </w:p>
        </w:tc>
        <w:tc>
          <w:tcPr>
            <w:tcW w:w="850"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3</w:t>
            </w:r>
          </w:p>
        </w:tc>
        <w:tc>
          <w:tcPr>
            <w:tcW w:w="851"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4</w:t>
            </w:r>
          </w:p>
        </w:tc>
        <w:tc>
          <w:tcPr>
            <w:tcW w:w="850"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5</w:t>
            </w:r>
          </w:p>
        </w:tc>
        <w:tc>
          <w:tcPr>
            <w:tcW w:w="851"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6</w:t>
            </w:r>
          </w:p>
        </w:tc>
        <w:tc>
          <w:tcPr>
            <w:tcW w:w="850"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7</w:t>
            </w:r>
          </w:p>
        </w:tc>
        <w:tc>
          <w:tcPr>
            <w:tcW w:w="851"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 xml:space="preserve">8 </w:t>
            </w:r>
          </w:p>
        </w:tc>
        <w:tc>
          <w:tcPr>
            <w:tcW w:w="850"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9</w:t>
            </w:r>
          </w:p>
        </w:tc>
        <w:tc>
          <w:tcPr>
            <w:tcW w:w="851"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10</w:t>
            </w:r>
          </w:p>
        </w:tc>
        <w:tc>
          <w:tcPr>
            <w:tcW w:w="850"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11</w:t>
            </w:r>
          </w:p>
        </w:tc>
        <w:tc>
          <w:tcPr>
            <w:tcW w:w="567" w:type="dxa"/>
          </w:tcPr>
          <w:p w:rsidR="00B60C5F" w:rsidRPr="00A36E90" w:rsidRDefault="00B60C5F" w:rsidP="0072778A">
            <w:pPr>
              <w:spacing w:line="240" w:lineRule="auto"/>
              <w:jc w:val="left"/>
              <w:rPr>
                <w:rFonts w:cs="Times New Roman"/>
                <w:b/>
                <w:sz w:val="18"/>
                <w:szCs w:val="18"/>
              </w:rPr>
            </w:pPr>
            <w:r>
              <w:rPr>
                <w:rFonts w:cs="Times New Roman"/>
                <w:b/>
                <w:sz w:val="18"/>
                <w:szCs w:val="18"/>
              </w:rPr>
              <w:t>12</w:t>
            </w:r>
          </w:p>
        </w:tc>
        <w:tc>
          <w:tcPr>
            <w:tcW w:w="709"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13</w:t>
            </w:r>
          </w:p>
        </w:tc>
        <w:tc>
          <w:tcPr>
            <w:tcW w:w="567" w:type="dxa"/>
          </w:tcPr>
          <w:p w:rsidR="00B60C5F" w:rsidRPr="00A36E90" w:rsidRDefault="00B60C5F" w:rsidP="0072778A">
            <w:pPr>
              <w:spacing w:line="240" w:lineRule="auto"/>
              <w:jc w:val="left"/>
              <w:rPr>
                <w:rFonts w:cs="Times New Roman"/>
                <w:b/>
                <w:sz w:val="18"/>
                <w:szCs w:val="18"/>
              </w:rPr>
            </w:pPr>
            <w:r w:rsidRPr="00A36E90">
              <w:rPr>
                <w:rFonts w:cs="Times New Roman"/>
                <w:b/>
                <w:sz w:val="18"/>
                <w:szCs w:val="18"/>
              </w:rPr>
              <w:t>14</w:t>
            </w: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1. Government Stability</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7.58</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0.421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2. Socio-economic Conditions</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1.67</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0.233</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0.275</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3. Investment Profile</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5.56</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0.962</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0.176</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0.620</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4. Internal    Conflict</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6.13</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0.750</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0.753</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0.092</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0.050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 xml:space="preserve">5. External </w:t>
            </w:r>
          </w:p>
          <w:p w:rsidR="00B60C5F" w:rsidRPr="0094415D" w:rsidRDefault="00B60C5F" w:rsidP="0072778A">
            <w:pPr>
              <w:spacing w:line="240" w:lineRule="auto"/>
              <w:jc w:val="left"/>
              <w:rPr>
                <w:rFonts w:cs="Times New Roman"/>
                <w:sz w:val="18"/>
                <w:szCs w:val="18"/>
              </w:rPr>
            </w:pPr>
            <w:r w:rsidRPr="0094415D">
              <w:rPr>
                <w:rFonts w:cs="Times New Roman"/>
                <w:sz w:val="18"/>
                <w:szCs w:val="18"/>
              </w:rPr>
              <w:t>Conflict</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9.90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0.567</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-0.275</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-0.365</w:t>
            </w:r>
          </w:p>
        </w:tc>
        <w:tc>
          <w:tcPr>
            <w:tcW w:w="850"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-0.797</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-0.397</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6. Corruption</w:t>
            </w:r>
          </w:p>
          <w:p w:rsidR="00B60C5F" w:rsidRPr="0094415D" w:rsidRDefault="00B60C5F" w:rsidP="0072778A">
            <w:pPr>
              <w:spacing w:line="240" w:lineRule="auto"/>
              <w:jc w:val="left"/>
              <w:rPr>
                <w:rFonts w:cs="Times New Roman"/>
                <w:sz w:val="18"/>
                <w:szCs w:val="18"/>
              </w:rPr>
            </w:pP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1.33</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0.236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0.184</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0.406</w:t>
            </w:r>
          </w:p>
        </w:tc>
        <w:tc>
          <w:tcPr>
            <w:tcW w:w="850"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0.941</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0.042</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-0.823</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7. Military in Politics</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1.97</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0.104</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0.034</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-0.496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-0.342</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-0.211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0.250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-0.249</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8. Religion in Politics</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1.64</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0.475</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0.368</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-0.390</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0.242</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0.598</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-0.628</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0.432</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0.102</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 xml:space="preserve">9. Law and </w:t>
            </w:r>
          </w:p>
          <w:p w:rsidR="00B60C5F" w:rsidRPr="0094415D" w:rsidRDefault="00B60C5F" w:rsidP="0072778A">
            <w:pPr>
              <w:spacing w:line="240" w:lineRule="auto"/>
              <w:jc w:val="left"/>
              <w:rPr>
                <w:rFonts w:cs="Times New Roman"/>
                <w:sz w:val="18"/>
                <w:szCs w:val="18"/>
              </w:rPr>
            </w:pPr>
            <w:r w:rsidRPr="0094415D">
              <w:rPr>
                <w:rFonts w:cs="Times New Roman"/>
                <w:sz w:val="18"/>
                <w:szCs w:val="18"/>
              </w:rPr>
              <w:t>Order</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1.82</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0.241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0.120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.451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0.971</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0.005</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-0.817</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0.978</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-0.266</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0.366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 xml:space="preserve">10. Ethnic </w:t>
            </w:r>
          </w:p>
          <w:p w:rsidR="00B60C5F" w:rsidRPr="0094415D" w:rsidRDefault="00B60C5F" w:rsidP="0072778A">
            <w:pPr>
              <w:spacing w:line="240" w:lineRule="auto"/>
              <w:jc w:val="left"/>
              <w:rPr>
                <w:rFonts w:cs="Times New Roman"/>
                <w:sz w:val="18"/>
                <w:szCs w:val="18"/>
              </w:rPr>
            </w:pPr>
            <w:r w:rsidRPr="0094415D">
              <w:rPr>
                <w:rFonts w:cs="Times New Roman"/>
                <w:sz w:val="18"/>
                <w:szCs w:val="18"/>
              </w:rPr>
              <w:t>Tensions</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1.86</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0.329</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0.546</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0.106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0.583</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0.698</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-0.869</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0.677</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-0.152</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0.875</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0.630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11. Democratic Accountability</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3.39</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0.246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0.294</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0.206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0.808</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0.030</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-0.630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0.916</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-0.154</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0.467</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0.886</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0.611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Pr>
                <w:rFonts w:cs="Times New Roman"/>
                <w:sz w:val="18"/>
                <w:szCs w:val="18"/>
              </w:rPr>
              <w:t>12.Bureaucracy Quality</w:t>
            </w:r>
          </w:p>
        </w:tc>
        <w:tc>
          <w:tcPr>
            <w:tcW w:w="992"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Pr>
                <w:rFonts w:eastAsiaTheme="minorHAnsi" w:cs="Times New Roman"/>
                <w:color w:val="000000"/>
                <w:sz w:val="16"/>
                <w:szCs w:val="16"/>
                <w:lang w:eastAsia="en-US"/>
              </w:rPr>
              <w:t>1.00</w:t>
            </w:r>
          </w:p>
        </w:tc>
        <w:tc>
          <w:tcPr>
            <w:tcW w:w="851"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Pr>
                <w:rFonts w:eastAsiaTheme="minorHAnsi" w:cs="Times New Roman"/>
                <w:color w:val="000000"/>
                <w:sz w:val="16"/>
                <w:szCs w:val="16"/>
                <w:lang w:eastAsia="en-US"/>
              </w:rPr>
              <w:t>0.000</w:t>
            </w:r>
          </w:p>
        </w:tc>
        <w:tc>
          <w:tcPr>
            <w:tcW w:w="850" w:type="dxa"/>
          </w:tcPr>
          <w:p w:rsidR="00B60C5F" w:rsidRPr="00FF6E75" w:rsidRDefault="00FF6E75" w:rsidP="0094415D">
            <w:pPr>
              <w:spacing w:line="320" w:lineRule="atLeast"/>
              <w:ind w:left="60" w:right="60"/>
              <w:jc w:val="left"/>
              <w:rPr>
                <w:rFonts w:eastAsiaTheme="minorHAnsi" w:cs="Times New Roman"/>
                <w:color w:val="000000"/>
                <w:sz w:val="18"/>
                <w:szCs w:val="18"/>
                <w:vertAlign w:val="superscript"/>
                <w:lang w:eastAsia="en-US"/>
              </w:rPr>
            </w:pPr>
            <w:r w:rsidRPr="00FF6E75">
              <w:rPr>
                <w:rFonts w:eastAsiaTheme="minorHAnsi" w:cs="Times New Roman"/>
                <w:color w:val="000000"/>
                <w:sz w:val="18"/>
                <w:szCs w:val="18"/>
                <w:vertAlign w:val="superscript"/>
                <w:lang w:eastAsia="en-US"/>
              </w:rPr>
              <w:t>b</w:t>
            </w:r>
          </w:p>
        </w:tc>
        <w:tc>
          <w:tcPr>
            <w:tcW w:w="851"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0"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1"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0"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1"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0"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1"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0"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1"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850"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567"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13. Composite Political Risk</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43.85</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2.253</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0.694</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0.383</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0.752</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0.631</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-0.801</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0.773</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-0.225</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0.650</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0.743</w:t>
            </w:r>
            <w:r w:rsidRPr="0094415D">
              <w:rPr>
                <w:rFonts w:eastAsiaTheme="minorHAnsi" w:cs="Times New Roman"/>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0.904</w:t>
            </w:r>
            <w:r w:rsidRPr="0094415D">
              <w:rPr>
                <w:rFonts w:eastAsiaTheme="minorHAnsi" w:cs="Times New Roman"/>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0.752</w:t>
            </w:r>
            <w:r w:rsidRPr="0094415D">
              <w:rPr>
                <w:rFonts w:eastAsiaTheme="minorHAnsi" w:cs="Times New Roman"/>
                <w:color w:val="000000"/>
                <w:sz w:val="16"/>
                <w:szCs w:val="16"/>
                <w:vertAlign w:val="superscript"/>
                <w:lang w:eastAsia="en-US"/>
              </w:rPr>
              <w:t>*</w:t>
            </w:r>
          </w:p>
        </w:tc>
        <w:tc>
          <w:tcPr>
            <w:tcW w:w="567" w:type="dxa"/>
          </w:tcPr>
          <w:p w:rsidR="00B60C5F" w:rsidRPr="0094415D"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14. Net Telecoms FDI Inflow (Nigeria)</w:t>
            </w:r>
          </w:p>
        </w:tc>
        <w:tc>
          <w:tcPr>
            <w:tcW w:w="992"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2177.10</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842.96</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.055</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Pr>
                <w:rFonts w:eastAsiaTheme="minorHAnsi" w:cs="Times New Roman"/>
                <w:color w:val="000000"/>
                <w:sz w:val="16"/>
                <w:szCs w:val="16"/>
                <w:lang w:eastAsia="en-US"/>
              </w:rPr>
              <w:t>0</w:t>
            </w:r>
            <w:r w:rsidRPr="0094415D">
              <w:rPr>
                <w:rFonts w:eastAsiaTheme="minorHAnsi" w:cs="Times New Roman"/>
                <w:color w:val="000000"/>
                <w:sz w:val="16"/>
                <w:szCs w:val="16"/>
                <w:lang w:eastAsia="en-US"/>
              </w:rPr>
              <w:t>.186</w:t>
            </w:r>
          </w:p>
        </w:tc>
        <w:tc>
          <w:tcPr>
            <w:tcW w:w="850" w:type="dxa"/>
          </w:tcPr>
          <w:p w:rsidR="00B60C5F" w:rsidRPr="0094415D" w:rsidRDefault="00B60C5F" w:rsidP="0094415D">
            <w:pPr>
              <w:spacing w:line="320" w:lineRule="atLeast"/>
              <w:ind w:left="60" w:right="60"/>
              <w:jc w:val="left"/>
              <w:rPr>
                <w:rFonts w:eastAsiaTheme="minorHAnsi" w:cs="Times New Roman"/>
                <w:b/>
                <w:color w:val="000000"/>
                <w:sz w:val="16"/>
                <w:szCs w:val="16"/>
                <w:lang w:eastAsia="en-US"/>
              </w:rPr>
            </w:pPr>
            <w:r>
              <w:rPr>
                <w:rFonts w:eastAsiaTheme="minorHAnsi" w:cs="Times New Roman"/>
                <w:b/>
                <w:color w:val="000000"/>
                <w:sz w:val="16"/>
                <w:szCs w:val="16"/>
                <w:lang w:eastAsia="en-US"/>
              </w:rPr>
              <w:t>0</w:t>
            </w:r>
            <w:r w:rsidRPr="0094415D">
              <w:rPr>
                <w:rFonts w:eastAsiaTheme="minorHAnsi" w:cs="Times New Roman"/>
                <w:b/>
                <w:color w:val="000000"/>
                <w:sz w:val="16"/>
                <w:szCs w:val="16"/>
                <w:lang w:eastAsia="en-US"/>
              </w:rPr>
              <w:t>.690</w:t>
            </w:r>
            <w:r w:rsidRPr="0094415D">
              <w:rPr>
                <w:rFonts w:eastAsiaTheme="minorHAnsi" w:cs="Times New Roman"/>
                <w:b/>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.025</w:t>
            </w:r>
          </w:p>
        </w:tc>
        <w:tc>
          <w:tcPr>
            <w:tcW w:w="850" w:type="dxa"/>
          </w:tcPr>
          <w:p w:rsidR="00B60C5F" w:rsidRPr="0094415D" w:rsidRDefault="00B60C5F" w:rsidP="0094415D">
            <w:pPr>
              <w:spacing w:line="320" w:lineRule="atLeast"/>
              <w:ind w:left="60" w:right="60"/>
              <w:jc w:val="left"/>
              <w:rPr>
                <w:rFonts w:eastAsiaTheme="minorHAnsi" w:cs="Times New Roman"/>
                <w:b/>
                <w:color w:val="000000"/>
                <w:sz w:val="16"/>
                <w:szCs w:val="16"/>
                <w:lang w:eastAsia="en-US"/>
              </w:rPr>
            </w:pPr>
            <w:r w:rsidRPr="0094415D">
              <w:rPr>
                <w:rFonts w:eastAsiaTheme="minorHAnsi" w:cs="Times New Roman"/>
                <w:b/>
                <w:color w:val="000000"/>
                <w:sz w:val="16"/>
                <w:szCs w:val="16"/>
                <w:lang w:eastAsia="en-US"/>
              </w:rPr>
              <w:t>-</w:t>
            </w:r>
            <w:r>
              <w:rPr>
                <w:rFonts w:eastAsiaTheme="minorHAnsi" w:cs="Times New Roman"/>
                <w:b/>
                <w:color w:val="000000"/>
                <w:sz w:val="16"/>
                <w:szCs w:val="16"/>
                <w:lang w:eastAsia="en-US"/>
              </w:rPr>
              <w:t>0</w:t>
            </w:r>
            <w:r w:rsidRPr="0094415D">
              <w:rPr>
                <w:rFonts w:eastAsiaTheme="minorHAnsi" w:cs="Times New Roman"/>
                <w:b/>
                <w:color w:val="000000"/>
                <w:sz w:val="16"/>
                <w:szCs w:val="16"/>
                <w:lang w:eastAsia="en-US"/>
              </w:rPr>
              <w:t>.718</w:t>
            </w:r>
            <w:r w:rsidRPr="0094415D">
              <w:rPr>
                <w:rFonts w:eastAsiaTheme="minorHAnsi" w:cs="Times New Roman"/>
                <w:b/>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b/>
                <w:color w:val="000000"/>
                <w:sz w:val="16"/>
                <w:szCs w:val="16"/>
                <w:lang w:eastAsia="en-US"/>
              </w:rPr>
            </w:pPr>
            <w:r>
              <w:rPr>
                <w:rFonts w:eastAsiaTheme="minorHAnsi" w:cs="Times New Roman"/>
                <w:b/>
                <w:color w:val="000000"/>
                <w:sz w:val="16"/>
                <w:szCs w:val="16"/>
                <w:lang w:eastAsia="en-US"/>
              </w:rPr>
              <w:t>0</w:t>
            </w:r>
            <w:r w:rsidRPr="0094415D">
              <w:rPr>
                <w:rFonts w:eastAsiaTheme="minorHAnsi" w:cs="Times New Roman"/>
                <w:b/>
                <w:color w:val="000000"/>
                <w:sz w:val="16"/>
                <w:szCs w:val="16"/>
                <w:lang w:eastAsia="en-US"/>
              </w:rPr>
              <w:t>.809</w:t>
            </w:r>
            <w:r w:rsidRPr="0094415D">
              <w:rPr>
                <w:rFonts w:eastAsiaTheme="minorHAnsi" w:cs="Times New Roman"/>
                <w:b/>
                <w:color w:val="000000"/>
                <w:sz w:val="16"/>
                <w:szCs w:val="16"/>
                <w:vertAlign w:val="superscript"/>
                <w:lang w:eastAsia="en-US"/>
              </w:rPr>
              <w:t>**</w:t>
            </w:r>
          </w:p>
        </w:tc>
        <w:tc>
          <w:tcPr>
            <w:tcW w:w="850"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w:t>
            </w:r>
            <w:r>
              <w:rPr>
                <w:rFonts w:eastAsiaTheme="minorHAnsi" w:cs="Times New Roman"/>
                <w:color w:val="000000"/>
                <w:sz w:val="16"/>
                <w:szCs w:val="16"/>
                <w:lang w:eastAsia="en-US"/>
              </w:rPr>
              <w:t>0</w:t>
            </w:r>
            <w:r w:rsidRPr="0094415D">
              <w:rPr>
                <w:rFonts w:eastAsiaTheme="minorHAnsi" w:cs="Times New Roman"/>
                <w:color w:val="000000"/>
                <w:sz w:val="16"/>
                <w:szCs w:val="16"/>
                <w:lang w:eastAsia="en-US"/>
              </w:rPr>
              <w:t>.358</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Pr>
                <w:rFonts w:eastAsiaTheme="minorHAnsi" w:cs="Times New Roman"/>
                <w:color w:val="000000"/>
                <w:sz w:val="16"/>
                <w:szCs w:val="16"/>
                <w:lang w:eastAsia="en-US"/>
              </w:rPr>
              <w:t>0</w:t>
            </w:r>
            <w:r w:rsidRPr="0094415D">
              <w:rPr>
                <w:rFonts w:eastAsiaTheme="minorHAnsi" w:cs="Times New Roman"/>
                <w:color w:val="000000"/>
                <w:sz w:val="16"/>
                <w:szCs w:val="16"/>
                <w:lang w:eastAsia="en-US"/>
              </w:rPr>
              <w:t>.481</w:t>
            </w:r>
          </w:p>
        </w:tc>
        <w:tc>
          <w:tcPr>
            <w:tcW w:w="850" w:type="dxa"/>
          </w:tcPr>
          <w:p w:rsidR="00B60C5F" w:rsidRPr="0094415D" w:rsidRDefault="00B60C5F" w:rsidP="0094415D">
            <w:pPr>
              <w:spacing w:line="320" w:lineRule="atLeast"/>
              <w:ind w:left="60" w:right="60"/>
              <w:jc w:val="left"/>
              <w:rPr>
                <w:rFonts w:eastAsiaTheme="minorHAnsi" w:cs="Times New Roman"/>
                <w:b/>
                <w:color w:val="000000"/>
                <w:sz w:val="16"/>
                <w:szCs w:val="16"/>
                <w:lang w:eastAsia="en-US"/>
              </w:rPr>
            </w:pPr>
            <w:r>
              <w:rPr>
                <w:rFonts w:eastAsiaTheme="minorHAnsi" w:cs="Times New Roman"/>
                <w:b/>
                <w:color w:val="000000"/>
                <w:sz w:val="16"/>
                <w:szCs w:val="16"/>
                <w:lang w:eastAsia="en-US"/>
              </w:rPr>
              <w:t>0</w:t>
            </w:r>
            <w:r w:rsidRPr="0094415D">
              <w:rPr>
                <w:rFonts w:eastAsiaTheme="minorHAnsi" w:cs="Times New Roman"/>
                <w:b/>
                <w:color w:val="000000"/>
                <w:sz w:val="16"/>
                <w:szCs w:val="16"/>
                <w:lang w:eastAsia="en-US"/>
              </w:rPr>
              <w:t>.779</w:t>
            </w:r>
            <w:r w:rsidRPr="0094415D">
              <w:rPr>
                <w:rFonts w:eastAsiaTheme="minorHAnsi" w:cs="Times New Roman"/>
                <w:b/>
                <w:color w:val="000000"/>
                <w:sz w:val="16"/>
                <w:szCs w:val="16"/>
                <w:vertAlign w:val="superscript"/>
                <w:lang w:eastAsia="en-US"/>
              </w:rPr>
              <w:t>**</w:t>
            </w:r>
          </w:p>
        </w:tc>
        <w:tc>
          <w:tcPr>
            <w:tcW w:w="851"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.617</w:t>
            </w:r>
          </w:p>
        </w:tc>
        <w:tc>
          <w:tcPr>
            <w:tcW w:w="850" w:type="dxa"/>
          </w:tcPr>
          <w:p w:rsidR="00B60C5F" w:rsidRPr="0094415D" w:rsidRDefault="00B60C5F" w:rsidP="0094415D">
            <w:pPr>
              <w:spacing w:line="320" w:lineRule="atLeast"/>
              <w:ind w:left="60" w:right="60"/>
              <w:jc w:val="left"/>
              <w:rPr>
                <w:rFonts w:eastAsiaTheme="minorHAnsi" w:cs="Times New Roman"/>
                <w:b/>
                <w:color w:val="000000"/>
                <w:sz w:val="16"/>
                <w:szCs w:val="16"/>
                <w:lang w:eastAsia="en-US"/>
              </w:rPr>
            </w:pPr>
            <w:r>
              <w:rPr>
                <w:rFonts w:eastAsiaTheme="minorHAnsi" w:cs="Times New Roman"/>
                <w:b/>
                <w:color w:val="000000"/>
                <w:sz w:val="16"/>
                <w:szCs w:val="16"/>
                <w:lang w:eastAsia="en-US"/>
              </w:rPr>
              <w:t>0</w:t>
            </w:r>
            <w:r w:rsidRPr="0094415D">
              <w:rPr>
                <w:rFonts w:eastAsiaTheme="minorHAnsi" w:cs="Times New Roman"/>
                <w:b/>
                <w:color w:val="000000"/>
                <w:sz w:val="16"/>
                <w:szCs w:val="16"/>
                <w:lang w:eastAsia="en-US"/>
              </w:rPr>
              <w:t>.763</w:t>
            </w:r>
            <w:r w:rsidRPr="0094415D">
              <w:rPr>
                <w:rFonts w:eastAsiaTheme="minorHAnsi" w:cs="Times New Roman"/>
                <w:b/>
                <w:color w:val="000000"/>
                <w:sz w:val="16"/>
                <w:szCs w:val="16"/>
                <w:vertAlign w:val="superscript"/>
                <w:lang w:eastAsia="en-US"/>
              </w:rPr>
              <w:t>*</w:t>
            </w:r>
          </w:p>
        </w:tc>
        <w:tc>
          <w:tcPr>
            <w:tcW w:w="567" w:type="dxa"/>
          </w:tcPr>
          <w:p w:rsidR="00B60C5F" w:rsidRDefault="00FF6E75" w:rsidP="0094415D">
            <w:pPr>
              <w:spacing w:line="320" w:lineRule="atLeast"/>
              <w:ind w:left="60" w:right="60"/>
              <w:jc w:val="left"/>
              <w:rPr>
                <w:rFonts w:eastAsiaTheme="minorHAnsi" w:cs="Times New Roman"/>
                <w:color w:val="000000"/>
                <w:sz w:val="16"/>
                <w:szCs w:val="16"/>
                <w:lang w:eastAsia="en-US"/>
              </w:rPr>
            </w:pPr>
            <w:r w:rsidRPr="00FF6E75">
              <w:rPr>
                <w:rFonts w:eastAsiaTheme="minorHAnsi" w:cs="Times New Roman"/>
                <w:color w:val="000000"/>
                <w:sz w:val="18"/>
                <w:szCs w:val="18"/>
                <w:vertAlign w:val="superscript"/>
                <w:lang w:eastAsia="en-US"/>
              </w:rPr>
              <w:t>b</w:t>
            </w:r>
          </w:p>
        </w:tc>
        <w:tc>
          <w:tcPr>
            <w:tcW w:w="709"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Pr>
                <w:rFonts w:eastAsiaTheme="minorHAnsi" w:cs="Times New Roman"/>
                <w:color w:val="000000"/>
                <w:sz w:val="16"/>
                <w:szCs w:val="16"/>
                <w:lang w:eastAsia="en-US"/>
              </w:rPr>
              <w:t>0</w:t>
            </w:r>
            <w:r w:rsidRPr="0094415D">
              <w:rPr>
                <w:rFonts w:eastAsiaTheme="minorHAnsi" w:cs="Times New Roman"/>
                <w:color w:val="000000"/>
                <w:sz w:val="16"/>
                <w:szCs w:val="16"/>
                <w:lang w:eastAsia="en-US"/>
              </w:rPr>
              <w:t>.578</w:t>
            </w:r>
          </w:p>
        </w:tc>
        <w:tc>
          <w:tcPr>
            <w:tcW w:w="567" w:type="dxa"/>
          </w:tcPr>
          <w:p w:rsidR="00B60C5F" w:rsidRPr="0094415D" w:rsidRDefault="00B60C5F" w:rsidP="0094415D">
            <w:pPr>
              <w:spacing w:line="320" w:lineRule="atLeast"/>
              <w:ind w:left="60" w:right="60"/>
              <w:jc w:val="left"/>
              <w:rPr>
                <w:rFonts w:eastAsiaTheme="minorHAnsi" w:cs="Times New Roman"/>
                <w:color w:val="000000"/>
                <w:sz w:val="16"/>
                <w:szCs w:val="16"/>
                <w:lang w:eastAsia="en-US"/>
              </w:rPr>
            </w:pPr>
            <w:r w:rsidRPr="0094415D">
              <w:rPr>
                <w:rFonts w:eastAsiaTheme="minorHAnsi" w:cs="Times New Roman"/>
                <w:color w:val="000000"/>
                <w:sz w:val="16"/>
                <w:szCs w:val="16"/>
                <w:lang w:eastAsia="en-US"/>
              </w:rPr>
              <w:t>1</w:t>
            </w:r>
          </w:p>
        </w:tc>
      </w:tr>
      <w:tr w:rsidR="00B60C5F" w:rsidRPr="00A36E90" w:rsidTr="00B60C5F">
        <w:tc>
          <w:tcPr>
            <w:tcW w:w="1702" w:type="dxa"/>
          </w:tcPr>
          <w:p w:rsidR="00B60C5F" w:rsidRPr="0094415D" w:rsidRDefault="00B60C5F" w:rsidP="0072778A">
            <w:pPr>
              <w:spacing w:line="240" w:lineRule="auto"/>
              <w:jc w:val="left"/>
              <w:rPr>
                <w:rFonts w:cs="Times New Roman"/>
                <w:sz w:val="18"/>
                <w:szCs w:val="18"/>
              </w:rPr>
            </w:pPr>
            <w:r w:rsidRPr="0094415D">
              <w:rPr>
                <w:rFonts w:cs="Times New Roman"/>
                <w:sz w:val="18"/>
                <w:szCs w:val="18"/>
              </w:rPr>
              <w:t>Correlation Rank</w:t>
            </w:r>
          </w:p>
        </w:tc>
        <w:tc>
          <w:tcPr>
            <w:tcW w:w="992" w:type="dxa"/>
          </w:tcPr>
          <w:p w:rsidR="00B60C5F" w:rsidRPr="0094415D" w:rsidRDefault="00B60C5F" w:rsidP="0094415D">
            <w:pPr>
              <w:spacing w:line="240" w:lineRule="auto"/>
              <w:jc w:val="left"/>
              <w:rPr>
                <w:rFonts w:cs="Times New Roman"/>
                <w:color w:val="000000"/>
                <w:sz w:val="16"/>
                <w:szCs w:val="16"/>
              </w:rPr>
            </w:pPr>
          </w:p>
        </w:tc>
        <w:tc>
          <w:tcPr>
            <w:tcW w:w="851" w:type="dxa"/>
          </w:tcPr>
          <w:p w:rsidR="00B60C5F" w:rsidRPr="0094415D" w:rsidRDefault="00B60C5F" w:rsidP="0094415D">
            <w:pPr>
              <w:spacing w:line="240" w:lineRule="auto"/>
              <w:jc w:val="left"/>
              <w:rPr>
                <w:rFonts w:cs="Times New Roman"/>
                <w:color w:val="000000"/>
                <w:sz w:val="16"/>
                <w:szCs w:val="16"/>
              </w:rPr>
            </w:pPr>
          </w:p>
        </w:tc>
        <w:tc>
          <w:tcPr>
            <w:tcW w:w="850" w:type="dxa"/>
          </w:tcPr>
          <w:p w:rsidR="00B60C5F" w:rsidRPr="0094415D" w:rsidRDefault="00B60C5F" w:rsidP="0094415D">
            <w:pPr>
              <w:spacing w:line="240" w:lineRule="auto"/>
              <w:jc w:val="left"/>
              <w:rPr>
                <w:rFonts w:cs="Times New Roman"/>
                <w:color w:val="000000"/>
                <w:sz w:val="16"/>
                <w:szCs w:val="16"/>
              </w:rPr>
            </w:pPr>
            <w:r w:rsidRPr="0094415D">
              <w:rPr>
                <w:rFonts w:cs="Times New Roman"/>
                <w:color w:val="000000"/>
                <w:sz w:val="16"/>
                <w:szCs w:val="16"/>
              </w:rPr>
              <w:t>10</w:t>
            </w:r>
          </w:p>
        </w:tc>
        <w:tc>
          <w:tcPr>
            <w:tcW w:w="851" w:type="dxa"/>
          </w:tcPr>
          <w:p w:rsidR="00B60C5F" w:rsidRPr="0094415D" w:rsidRDefault="00B60C5F" w:rsidP="0094415D">
            <w:pPr>
              <w:spacing w:line="240" w:lineRule="auto"/>
              <w:jc w:val="left"/>
              <w:rPr>
                <w:rFonts w:cs="Times New Roman"/>
                <w:color w:val="000000"/>
                <w:sz w:val="16"/>
                <w:szCs w:val="16"/>
              </w:rPr>
            </w:pPr>
            <w:r w:rsidRPr="0094415D">
              <w:rPr>
                <w:rFonts w:cs="Times New Roman"/>
                <w:color w:val="000000"/>
                <w:sz w:val="16"/>
                <w:szCs w:val="16"/>
              </w:rPr>
              <w:t>9</w:t>
            </w:r>
          </w:p>
        </w:tc>
        <w:tc>
          <w:tcPr>
            <w:tcW w:w="850" w:type="dxa"/>
          </w:tcPr>
          <w:p w:rsidR="00B60C5F" w:rsidRPr="0094415D" w:rsidRDefault="00B60C5F" w:rsidP="0094415D">
            <w:pPr>
              <w:spacing w:line="240" w:lineRule="auto"/>
              <w:jc w:val="left"/>
              <w:rPr>
                <w:rFonts w:cs="Times New Roman"/>
                <w:b/>
                <w:color w:val="000000"/>
                <w:sz w:val="16"/>
                <w:szCs w:val="16"/>
              </w:rPr>
            </w:pPr>
            <w:r w:rsidRPr="0094415D">
              <w:rPr>
                <w:rFonts w:cs="Times New Roman"/>
                <w:b/>
                <w:color w:val="000000"/>
                <w:sz w:val="16"/>
                <w:szCs w:val="16"/>
              </w:rPr>
              <w:t>5</w:t>
            </w:r>
          </w:p>
        </w:tc>
        <w:tc>
          <w:tcPr>
            <w:tcW w:w="851" w:type="dxa"/>
          </w:tcPr>
          <w:p w:rsidR="00B60C5F" w:rsidRPr="0094415D" w:rsidRDefault="00B60C5F" w:rsidP="0094415D">
            <w:pPr>
              <w:spacing w:line="240" w:lineRule="auto"/>
              <w:jc w:val="left"/>
              <w:rPr>
                <w:rFonts w:cs="Times New Roman"/>
                <w:color w:val="000000"/>
                <w:sz w:val="16"/>
                <w:szCs w:val="16"/>
              </w:rPr>
            </w:pPr>
            <w:r w:rsidRPr="0094415D">
              <w:rPr>
                <w:rFonts w:cs="Times New Roman"/>
                <w:color w:val="000000"/>
                <w:sz w:val="16"/>
                <w:szCs w:val="16"/>
              </w:rPr>
              <w:t>11</w:t>
            </w:r>
          </w:p>
        </w:tc>
        <w:tc>
          <w:tcPr>
            <w:tcW w:w="850" w:type="dxa"/>
          </w:tcPr>
          <w:p w:rsidR="00B60C5F" w:rsidRPr="0094415D" w:rsidRDefault="00B60C5F" w:rsidP="0094415D">
            <w:pPr>
              <w:spacing w:line="240" w:lineRule="auto"/>
              <w:jc w:val="left"/>
              <w:rPr>
                <w:rFonts w:cs="Times New Roman"/>
                <w:b/>
                <w:color w:val="000000"/>
                <w:sz w:val="16"/>
                <w:szCs w:val="16"/>
              </w:rPr>
            </w:pPr>
            <w:r w:rsidRPr="0094415D">
              <w:rPr>
                <w:rFonts w:cs="Times New Roman"/>
                <w:b/>
                <w:color w:val="000000"/>
                <w:sz w:val="16"/>
                <w:szCs w:val="16"/>
              </w:rPr>
              <w:t>4</w:t>
            </w:r>
          </w:p>
        </w:tc>
        <w:tc>
          <w:tcPr>
            <w:tcW w:w="851" w:type="dxa"/>
          </w:tcPr>
          <w:p w:rsidR="00B60C5F" w:rsidRPr="0094415D" w:rsidRDefault="00B60C5F" w:rsidP="0094415D">
            <w:pPr>
              <w:spacing w:line="240" w:lineRule="auto"/>
              <w:jc w:val="left"/>
              <w:rPr>
                <w:rFonts w:cs="Times New Roman"/>
                <w:b/>
                <w:color w:val="000000"/>
                <w:sz w:val="16"/>
                <w:szCs w:val="16"/>
              </w:rPr>
            </w:pPr>
            <w:r w:rsidRPr="0094415D">
              <w:rPr>
                <w:rFonts w:cs="Times New Roman"/>
                <w:b/>
                <w:color w:val="000000"/>
                <w:sz w:val="16"/>
                <w:szCs w:val="16"/>
              </w:rPr>
              <w:t>1</w:t>
            </w:r>
          </w:p>
        </w:tc>
        <w:tc>
          <w:tcPr>
            <w:tcW w:w="850" w:type="dxa"/>
          </w:tcPr>
          <w:p w:rsidR="00B60C5F" w:rsidRPr="0094415D" w:rsidRDefault="00B60C5F" w:rsidP="0094415D">
            <w:pPr>
              <w:spacing w:line="240" w:lineRule="auto"/>
              <w:jc w:val="left"/>
              <w:rPr>
                <w:rFonts w:cs="Times New Roman"/>
                <w:color w:val="000000"/>
                <w:sz w:val="16"/>
                <w:szCs w:val="16"/>
              </w:rPr>
            </w:pPr>
            <w:r w:rsidRPr="0094415D">
              <w:rPr>
                <w:rFonts w:cs="Times New Roman"/>
                <w:color w:val="000000"/>
                <w:sz w:val="16"/>
                <w:szCs w:val="16"/>
              </w:rPr>
              <w:t>8</w:t>
            </w:r>
          </w:p>
        </w:tc>
        <w:tc>
          <w:tcPr>
            <w:tcW w:w="851" w:type="dxa"/>
          </w:tcPr>
          <w:p w:rsidR="00B60C5F" w:rsidRPr="0094415D" w:rsidRDefault="00B60C5F" w:rsidP="0094415D">
            <w:pPr>
              <w:spacing w:line="240" w:lineRule="auto"/>
              <w:jc w:val="left"/>
              <w:rPr>
                <w:rFonts w:cs="Times New Roman"/>
                <w:sz w:val="16"/>
                <w:szCs w:val="16"/>
              </w:rPr>
            </w:pPr>
            <w:r w:rsidRPr="0094415D">
              <w:rPr>
                <w:rFonts w:cs="Times New Roman"/>
                <w:sz w:val="16"/>
                <w:szCs w:val="16"/>
              </w:rPr>
              <w:t>7</w:t>
            </w:r>
          </w:p>
        </w:tc>
        <w:tc>
          <w:tcPr>
            <w:tcW w:w="850" w:type="dxa"/>
          </w:tcPr>
          <w:p w:rsidR="00B60C5F" w:rsidRPr="0094415D" w:rsidRDefault="00B60C5F" w:rsidP="0094415D">
            <w:pPr>
              <w:spacing w:line="240" w:lineRule="auto"/>
              <w:jc w:val="left"/>
              <w:rPr>
                <w:rFonts w:cs="Times New Roman"/>
                <w:b/>
                <w:sz w:val="16"/>
                <w:szCs w:val="16"/>
              </w:rPr>
            </w:pPr>
            <w:r w:rsidRPr="0094415D">
              <w:rPr>
                <w:rFonts w:cs="Times New Roman"/>
                <w:b/>
                <w:sz w:val="16"/>
                <w:szCs w:val="16"/>
              </w:rPr>
              <w:t>2</w:t>
            </w:r>
          </w:p>
        </w:tc>
        <w:tc>
          <w:tcPr>
            <w:tcW w:w="851" w:type="dxa"/>
          </w:tcPr>
          <w:p w:rsidR="00B60C5F" w:rsidRPr="0094415D" w:rsidRDefault="00B60C5F" w:rsidP="0094415D">
            <w:pPr>
              <w:spacing w:line="240" w:lineRule="auto"/>
              <w:jc w:val="left"/>
              <w:rPr>
                <w:rFonts w:cs="Times New Roman"/>
                <w:sz w:val="16"/>
                <w:szCs w:val="16"/>
              </w:rPr>
            </w:pPr>
            <w:r w:rsidRPr="0094415D">
              <w:rPr>
                <w:rFonts w:cs="Times New Roman"/>
                <w:sz w:val="16"/>
                <w:szCs w:val="16"/>
              </w:rPr>
              <w:t>6</w:t>
            </w:r>
          </w:p>
        </w:tc>
        <w:tc>
          <w:tcPr>
            <w:tcW w:w="850" w:type="dxa"/>
          </w:tcPr>
          <w:p w:rsidR="00B60C5F" w:rsidRPr="0094415D" w:rsidRDefault="00B60C5F" w:rsidP="0094415D">
            <w:pPr>
              <w:spacing w:line="240" w:lineRule="auto"/>
              <w:jc w:val="left"/>
              <w:rPr>
                <w:rFonts w:cs="Times New Roman"/>
                <w:b/>
                <w:sz w:val="16"/>
                <w:szCs w:val="16"/>
              </w:rPr>
            </w:pPr>
            <w:r w:rsidRPr="0094415D">
              <w:rPr>
                <w:rFonts w:cs="Times New Roman"/>
                <w:b/>
                <w:sz w:val="16"/>
                <w:szCs w:val="16"/>
              </w:rPr>
              <w:t>3</w:t>
            </w:r>
          </w:p>
        </w:tc>
        <w:tc>
          <w:tcPr>
            <w:tcW w:w="567" w:type="dxa"/>
          </w:tcPr>
          <w:p w:rsidR="00B60C5F" w:rsidRPr="0094415D" w:rsidRDefault="00B60C5F" w:rsidP="0094415D">
            <w:pPr>
              <w:spacing w:line="240" w:lineRule="auto"/>
              <w:jc w:val="left"/>
              <w:rPr>
                <w:rFonts w:cs="Times New Roman"/>
                <w:sz w:val="16"/>
                <w:szCs w:val="16"/>
              </w:rPr>
            </w:pPr>
          </w:p>
        </w:tc>
        <w:tc>
          <w:tcPr>
            <w:tcW w:w="709" w:type="dxa"/>
          </w:tcPr>
          <w:p w:rsidR="00B60C5F" w:rsidRPr="0094415D" w:rsidRDefault="00B60C5F" w:rsidP="0094415D">
            <w:pPr>
              <w:spacing w:line="240" w:lineRule="auto"/>
              <w:jc w:val="left"/>
              <w:rPr>
                <w:rFonts w:cs="Times New Roman"/>
                <w:sz w:val="16"/>
                <w:szCs w:val="16"/>
              </w:rPr>
            </w:pPr>
          </w:p>
        </w:tc>
        <w:tc>
          <w:tcPr>
            <w:tcW w:w="567" w:type="dxa"/>
          </w:tcPr>
          <w:p w:rsidR="00B60C5F" w:rsidRPr="0094415D" w:rsidRDefault="00B60C5F" w:rsidP="0094415D">
            <w:pPr>
              <w:spacing w:line="240" w:lineRule="auto"/>
              <w:jc w:val="left"/>
              <w:rPr>
                <w:rFonts w:cs="Times New Roman"/>
                <w:sz w:val="16"/>
                <w:szCs w:val="16"/>
              </w:rPr>
            </w:pPr>
          </w:p>
        </w:tc>
      </w:tr>
    </w:tbl>
    <w:p w:rsidR="0072778A" w:rsidRDefault="00A36E90" w:rsidP="00A36E90">
      <w:pPr>
        <w:spacing w:line="240" w:lineRule="auto"/>
        <w:jc w:val="left"/>
        <w:rPr>
          <w:rFonts w:cs="Times New Roman"/>
          <w:sz w:val="18"/>
          <w:szCs w:val="18"/>
        </w:rPr>
      </w:pPr>
      <w:r w:rsidRPr="00F035CC">
        <w:rPr>
          <w:rFonts w:cs="Times New Roman"/>
          <w:b/>
          <w:color w:val="000000"/>
          <w:sz w:val="18"/>
          <w:szCs w:val="18"/>
          <w:vertAlign w:val="superscript"/>
        </w:rPr>
        <w:t>*</w:t>
      </w:r>
      <w:r w:rsidRPr="00F035CC">
        <w:rPr>
          <w:rFonts w:cs="Times New Roman"/>
          <w:sz w:val="18"/>
          <w:szCs w:val="18"/>
        </w:rPr>
        <w:t xml:space="preserve">p&lt;0.05; </w:t>
      </w:r>
      <w:r w:rsidRPr="00F035CC">
        <w:rPr>
          <w:rFonts w:cs="Times New Roman"/>
          <w:b/>
          <w:color w:val="000000"/>
          <w:sz w:val="18"/>
          <w:szCs w:val="18"/>
          <w:vertAlign w:val="superscript"/>
        </w:rPr>
        <w:t>**</w:t>
      </w:r>
      <w:r w:rsidRPr="00F035CC">
        <w:rPr>
          <w:rFonts w:cs="Times New Roman"/>
          <w:color w:val="000000"/>
          <w:sz w:val="18"/>
          <w:szCs w:val="18"/>
        </w:rPr>
        <w:t>p</w:t>
      </w:r>
      <w:r w:rsidRPr="00F035CC">
        <w:rPr>
          <w:rFonts w:cs="Times New Roman"/>
          <w:sz w:val="18"/>
          <w:szCs w:val="18"/>
        </w:rPr>
        <w:t xml:space="preserve">&lt;0.01(2-tailed); </w:t>
      </w:r>
    </w:p>
    <w:p w:rsidR="0072778A" w:rsidRPr="00FF6E75" w:rsidRDefault="00FF6E75" w:rsidP="00A36E90">
      <w:pPr>
        <w:spacing w:line="240" w:lineRule="auto"/>
        <w:jc w:val="left"/>
        <w:rPr>
          <w:rFonts w:cs="Times New Roman"/>
          <w:sz w:val="18"/>
          <w:szCs w:val="18"/>
        </w:rPr>
      </w:pPr>
      <w:proofErr w:type="gramStart"/>
      <w:r w:rsidRPr="00FF6E75">
        <w:rPr>
          <w:rFonts w:eastAsiaTheme="minorHAnsi" w:cs="Times New Roman"/>
          <w:color w:val="000000"/>
          <w:sz w:val="18"/>
          <w:szCs w:val="18"/>
          <w:vertAlign w:val="superscript"/>
          <w:lang w:eastAsia="en-US"/>
        </w:rPr>
        <w:t>b</w:t>
      </w:r>
      <w:proofErr w:type="gramEnd"/>
      <w:r>
        <w:rPr>
          <w:rFonts w:eastAsiaTheme="minorHAnsi" w:cs="Times New Roman"/>
          <w:color w:val="000000"/>
          <w:sz w:val="18"/>
          <w:szCs w:val="18"/>
          <w:vertAlign w:val="superscript"/>
          <w:lang w:eastAsia="en-US"/>
        </w:rPr>
        <w:t xml:space="preserve"> </w:t>
      </w:r>
      <w:r>
        <w:rPr>
          <w:rFonts w:eastAsiaTheme="minorHAnsi" w:cs="Times New Roman"/>
          <w:color w:val="000000"/>
          <w:sz w:val="18"/>
          <w:szCs w:val="18"/>
          <w:lang w:eastAsia="en-US"/>
        </w:rPr>
        <w:t>Cannot be computed because at least one of the variables is constant</w:t>
      </w: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pPr>
    </w:p>
    <w:p w:rsidR="00712116" w:rsidRDefault="00712116" w:rsidP="00A36E90">
      <w:pPr>
        <w:spacing w:line="240" w:lineRule="auto"/>
        <w:jc w:val="left"/>
        <w:rPr>
          <w:rFonts w:cs="Times New Roman"/>
          <w:b/>
          <w:sz w:val="20"/>
          <w:szCs w:val="20"/>
        </w:rPr>
        <w:sectPr w:rsidR="00712116" w:rsidSect="004B5203">
          <w:pgSz w:w="15840" w:h="12240" w:orient="landscape"/>
          <w:pgMar w:top="1440" w:right="1440" w:bottom="1440" w:left="1440" w:header="709" w:footer="709" w:gutter="0"/>
          <w:cols w:space="708"/>
          <w:docGrid w:linePitch="360"/>
        </w:sectPr>
      </w:pPr>
    </w:p>
    <w:p w:rsidR="00A36E90" w:rsidRPr="00A36E90" w:rsidRDefault="00A36E90" w:rsidP="00A36E90">
      <w:pPr>
        <w:spacing w:line="240" w:lineRule="auto"/>
        <w:jc w:val="left"/>
        <w:rPr>
          <w:rFonts w:cs="Times New Roman"/>
          <w:b/>
          <w:sz w:val="20"/>
          <w:szCs w:val="20"/>
        </w:rPr>
      </w:pPr>
      <w:r w:rsidRPr="00A36E90">
        <w:rPr>
          <w:rFonts w:cs="Times New Roman"/>
          <w:b/>
          <w:sz w:val="20"/>
          <w:szCs w:val="20"/>
        </w:rPr>
        <w:lastRenderedPageBreak/>
        <w:t xml:space="preserve">Table 7 </w:t>
      </w:r>
      <w:r w:rsidR="00712116">
        <w:rPr>
          <w:rFonts w:cs="Times New Roman"/>
          <w:b/>
          <w:sz w:val="20"/>
          <w:szCs w:val="20"/>
        </w:rPr>
        <w:t xml:space="preserve">Political Risk Component and FDI Flow: </w:t>
      </w:r>
      <w:r w:rsidRPr="00A36E90">
        <w:rPr>
          <w:rFonts w:cs="Times New Roman"/>
          <w:b/>
          <w:sz w:val="20"/>
          <w:szCs w:val="20"/>
        </w:rPr>
        <w:t xml:space="preserve">Backward Multiple </w:t>
      </w:r>
      <w:proofErr w:type="gramStart"/>
      <w:r w:rsidRPr="00A36E90">
        <w:rPr>
          <w:rFonts w:cs="Times New Roman"/>
          <w:b/>
          <w:sz w:val="20"/>
          <w:szCs w:val="20"/>
        </w:rPr>
        <w:t>Regr</w:t>
      </w:r>
      <w:r w:rsidR="001B2819">
        <w:rPr>
          <w:rFonts w:cs="Times New Roman"/>
          <w:b/>
          <w:sz w:val="20"/>
          <w:szCs w:val="20"/>
        </w:rPr>
        <w:t>ession</w:t>
      </w:r>
      <w:proofErr w:type="gramEnd"/>
      <w:r w:rsidR="001B2819">
        <w:rPr>
          <w:rFonts w:cs="Times New Roman"/>
          <w:b/>
          <w:sz w:val="20"/>
          <w:szCs w:val="20"/>
        </w:rPr>
        <w:t xml:space="preserve"> of Significant Variables</w:t>
      </w:r>
    </w:p>
    <w:tbl>
      <w:tblPr>
        <w:tblStyle w:val="TableGrid"/>
        <w:tblW w:w="0" w:type="auto"/>
        <w:tblLook w:val="04A0" w:firstRow="1" w:lastRow="0" w:firstColumn="1" w:lastColumn="0" w:noHBand="0" w:noVBand="1"/>
      </w:tblPr>
      <w:tblGrid>
        <w:gridCol w:w="3936"/>
        <w:gridCol w:w="1134"/>
        <w:gridCol w:w="1134"/>
        <w:gridCol w:w="1134"/>
        <w:gridCol w:w="1134"/>
        <w:gridCol w:w="1104"/>
      </w:tblGrid>
      <w:tr w:rsidR="00712116" w:rsidTr="00712116">
        <w:tc>
          <w:tcPr>
            <w:tcW w:w="3936" w:type="dxa"/>
          </w:tcPr>
          <w:p w:rsidR="00712116" w:rsidRDefault="00712116" w:rsidP="00712116">
            <w:pPr>
              <w:rPr>
                <w:rFonts w:cs="Times New Roman"/>
              </w:rPr>
            </w:pPr>
            <w:r>
              <w:rPr>
                <w:rFonts w:cs="Times New Roman"/>
              </w:rPr>
              <w:t>Variable</w:t>
            </w:r>
          </w:p>
        </w:tc>
        <w:tc>
          <w:tcPr>
            <w:tcW w:w="1134" w:type="dxa"/>
          </w:tcPr>
          <w:p w:rsidR="00712116" w:rsidRDefault="00712116" w:rsidP="00712116">
            <w:pPr>
              <w:rPr>
                <w:rFonts w:cs="Times New Roman"/>
              </w:rPr>
            </w:pPr>
            <w:r>
              <w:rPr>
                <w:rFonts w:cs="Times New Roman"/>
              </w:rPr>
              <w:t>Model 1</w:t>
            </w:r>
          </w:p>
        </w:tc>
        <w:tc>
          <w:tcPr>
            <w:tcW w:w="1134" w:type="dxa"/>
          </w:tcPr>
          <w:p w:rsidR="00712116" w:rsidRDefault="00712116" w:rsidP="00712116">
            <w:pPr>
              <w:rPr>
                <w:rFonts w:cs="Times New Roman"/>
              </w:rPr>
            </w:pPr>
            <w:r>
              <w:rPr>
                <w:rFonts w:cs="Times New Roman"/>
              </w:rPr>
              <w:t>Model 2</w:t>
            </w:r>
          </w:p>
        </w:tc>
        <w:tc>
          <w:tcPr>
            <w:tcW w:w="1134" w:type="dxa"/>
          </w:tcPr>
          <w:p w:rsidR="00712116" w:rsidRDefault="00712116" w:rsidP="00712116">
            <w:pPr>
              <w:rPr>
                <w:rFonts w:cs="Times New Roman"/>
              </w:rPr>
            </w:pPr>
            <w:r>
              <w:rPr>
                <w:rFonts w:cs="Times New Roman"/>
              </w:rPr>
              <w:t>Model 3</w:t>
            </w:r>
          </w:p>
        </w:tc>
        <w:tc>
          <w:tcPr>
            <w:tcW w:w="1134" w:type="dxa"/>
          </w:tcPr>
          <w:p w:rsidR="00712116" w:rsidRDefault="00712116" w:rsidP="00712116">
            <w:pPr>
              <w:rPr>
                <w:rFonts w:cs="Times New Roman"/>
              </w:rPr>
            </w:pPr>
            <w:r>
              <w:rPr>
                <w:rFonts w:cs="Times New Roman"/>
              </w:rPr>
              <w:t>Model 4</w:t>
            </w:r>
          </w:p>
        </w:tc>
        <w:tc>
          <w:tcPr>
            <w:tcW w:w="1104" w:type="dxa"/>
          </w:tcPr>
          <w:p w:rsidR="00712116" w:rsidRDefault="00712116" w:rsidP="00712116">
            <w:pPr>
              <w:rPr>
                <w:rFonts w:cs="Times New Roman"/>
              </w:rPr>
            </w:pPr>
            <w:r>
              <w:rPr>
                <w:rFonts w:cs="Times New Roman"/>
              </w:rPr>
              <w:t>Model 5</w:t>
            </w:r>
          </w:p>
        </w:tc>
      </w:tr>
      <w:tr w:rsidR="007024A2" w:rsidTr="00712116">
        <w:tc>
          <w:tcPr>
            <w:tcW w:w="3936" w:type="dxa"/>
          </w:tcPr>
          <w:p w:rsidR="007024A2" w:rsidRDefault="00802406" w:rsidP="00802406">
            <w:pPr>
              <w:rPr>
                <w:rFonts w:cs="Times New Roman"/>
              </w:rPr>
            </w:pPr>
            <w:r>
              <w:rPr>
                <w:rFonts w:cs="Times New Roman"/>
              </w:rPr>
              <w:t xml:space="preserve">Corruption </w:t>
            </w:r>
          </w:p>
        </w:tc>
        <w:tc>
          <w:tcPr>
            <w:tcW w:w="1134" w:type="dxa"/>
          </w:tcPr>
          <w:p w:rsidR="007024A2" w:rsidRDefault="001B2819" w:rsidP="00712116">
            <w:pPr>
              <w:rPr>
                <w:rFonts w:cs="Times New Roman"/>
              </w:rPr>
            </w:pPr>
            <w:r>
              <w:rPr>
                <w:rFonts w:cs="Times New Roman"/>
              </w:rPr>
              <w:t>0.774</w:t>
            </w:r>
          </w:p>
        </w:tc>
        <w:tc>
          <w:tcPr>
            <w:tcW w:w="1134" w:type="dxa"/>
          </w:tcPr>
          <w:p w:rsidR="007024A2" w:rsidRDefault="001B2819" w:rsidP="0058267C">
            <w:pPr>
              <w:rPr>
                <w:rFonts w:cs="Times New Roman"/>
              </w:rPr>
            </w:pPr>
            <w:r>
              <w:rPr>
                <w:rFonts w:cs="Times New Roman"/>
              </w:rPr>
              <w:t>0.760</w:t>
            </w:r>
          </w:p>
        </w:tc>
        <w:tc>
          <w:tcPr>
            <w:tcW w:w="1134" w:type="dxa"/>
          </w:tcPr>
          <w:p w:rsidR="007024A2" w:rsidRDefault="001B2819" w:rsidP="0058267C">
            <w:pPr>
              <w:rPr>
                <w:rFonts w:cs="Times New Roman"/>
              </w:rPr>
            </w:pPr>
            <w:r>
              <w:rPr>
                <w:rFonts w:cs="Times New Roman"/>
              </w:rPr>
              <w:t>0.880</w:t>
            </w:r>
          </w:p>
        </w:tc>
        <w:tc>
          <w:tcPr>
            <w:tcW w:w="1134" w:type="dxa"/>
          </w:tcPr>
          <w:p w:rsidR="007024A2" w:rsidRDefault="001B2819" w:rsidP="001B2819">
            <w:pPr>
              <w:rPr>
                <w:rFonts w:cs="Times New Roman"/>
              </w:rPr>
            </w:pPr>
            <w:r>
              <w:rPr>
                <w:rFonts w:cs="Times New Roman"/>
              </w:rPr>
              <w:t>1.391</w:t>
            </w:r>
          </w:p>
        </w:tc>
        <w:tc>
          <w:tcPr>
            <w:tcW w:w="1104" w:type="dxa"/>
          </w:tcPr>
          <w:p w:rsidR="007024A2" w:rsidRDefault="00802406" w:rsidP="00FF6E75">
            <w:pPr>
              <w:rPr>
                <w:rFonts w:cs="Times New Roman"/>
              </w:rPr>
            </w:pPr>
            <w:r>
              <w:rPr>
                <w:rFonts w:cs="Times New Roman"/>
              </w:rPr>
              <w:t>0.809</w:t>
            </w:r>
            <w:r w:rsidR="001B2819">
              <w:rPr>
                <w:rFonts w:cs="Times New Roman"/>
              </w:rPr>
              <w:t>**</w:t>
            </w:r>
          </w:p>
        </w:tc>
      </w:tr>
      <w:tr w:rsidR="007024A2" w:rsidTr="00712116">
        <w:tc>
          <w:tcPr>
            <w:tcW w:w="3936" w:type="dxa"/>
          </w:tcPr>
          <w:p w:rsidR="007024A2" w:rsidRDefault="00802406" w:rsidP="00712116">
            <w:pPr>
              <w:rPr>
                <w:rFonts w:cs="Times New Roman"/>
              </w:rPr>
            </w:pPr>
            <w:r>
              <w:rPr>
                <w:rFonts w:cs="Times New Roman"/>
              </w:rPr>
              <w:t>Investment Profile</w:t>
            </w:r>
          </w:p>
        </w:tc>
        <w:tc>
          <w:tcPr>
            <w:tcW w:w="1134" w:type="dxa"/>
          </w:tcPr>
          <w:p w:rsidR="007024A2" w:rsidRDefault="001B2819" w:rsidP="00712116">
            <w:pPr>
              <w:rPr>
                <w:rFonts w:cs="Times New Roman"/>
              </w:rPr>
            </w:pPr>
            <w:r>
              <w:rPr>
                <w:rFonts w:cs="Times New Roman"/>
              </w:rPr>
              <w:t>-1.069</w:t>
            </w:r>
          </w:p>
        </w:tc>
        <w:tc>
          <w:tcPr>
            <w:tcW w:w="1134" w:type="dxa"/>
          </w:tcPr>
          <w:p w:rsidR="007024A2" w:rsidRDefault="007024A2" w:rsidP="001B2819">
            <w:pPr>
              <w:rPr>
                <w:rFonts w:cs="Times New Roman"/>
              </w:rPr>
            </w:pPr>
            <w:r>
              <w:rPr>
                <w:rFonts w:cs="Times New Roman"/>
              </w:rPr>
              <w:t>-</w:t>
            </w:r>
            <w:r w:rsidR="001B2819">
              <w:rPr>
                <w:rFonts w:cs="Times New Roman"/>
              </w:rPr>
              <w:t>1</w:t>
            </w:r>
            <w:r>
              <w:rPr>
                <w:rFonts w:cs="Times New Roman"/>
              </w:rPr>
              <w:t>.</w:t>
            </w:r>
            <w:r w:rsidR="001B2819">
              <w:rPr>
                <w:rFonts w:cs="Times New Roman"/>
              </w:rPr>
              <w:t>060</w:t>
            </w:r>
          </w:p>
        </w:tc>
        <w:tc>
          <w:tcPr>
            <w:tcW w:w="1134" w:type="dxa"/>
          </w:tcPr>
          <w:p w:rsidR="007024A2" w:rsidRDefault="001B2819" w:rsidP="001B2819">
            <w:pPr>
              <w:rPr>
                <w:rFonts w:cs="Times New Roman"/>
              </w:rPr>
            </w:pPr>
            <w:r>
              <w:rPr>
                <w:rFonts w:cs="Times New Roman"/>
              </w:rPr>
              <w:t>-1</w:t>
            </w:r>
            <w:r w:rsidR="007024A2">
              <w:rPr>
                <w:rFonts w:cs="Times New Roman"/>
              </w:rPr>
              <w:t>.</w:t>
            </w:r>
            <w:r>
              <w:rPr>
                <w:rFonts w:cs="Times New Roman"/>
              </w:rPr>
              <w:t>027</w:t>
            </w:r>
          </w:p>
        </w:tc>
        <w:tc>
          <w:tcPr>
            <w:tcW w:w="1134" w:type="dxa"/>
          </w:tcPr>
          <w:p w:rsidR="007024A2" w:rsidRDefault="001B2819" w:rsidP="0058267C">
            <w:pPr>
              <w:rPr>
                <w:rFonts w:cs="Times New Roman"/>
              </w:rPr>
            </w:pPr>
            <w:r>
              <w:rPr>
                <w:rFonts w:cs="Times New Roman"/>
              </w:rPr>
              <w:t>-0.618</w:t>
            </w:r>
          </w:p>
        </w:tc>
        <w:tc>
          <w:tcPr>
            <w:tcW w:w="1104" w:type="dxa"/>
          </w:tcPr>
          <w:p w:rsidR="007024A2" w:rsidRDefault="007024A2" w:rsidP="00712116">
            <w:pPr>
              <w:rPr>
                <w:rFonts w:cs="Times New Roman"/>
              </w:rPr>
            </w:pPr>
          </w:p>
        </w:tc>
      </w:tr>
      <w:tr w:rsidR="007024A2" w:rsidTr="00712116">
        <w:tc>
          <w:tcPr>
            <w:tcW w:w="3936" w:type="dxa"/>
          </w:tcPr>
          <w:p w:rsidR="007024A2" w:rsidRDefault="00802406" w:rsidP="007024A2">
            <w:pPr>
              <w:rPr>
                <w:rFonts w:cs="Times New Roman"/>
              </w:rPr>
            </w:pPr>
            <w:r>
              <w:rPr>
                <w:rFonts w:cs="Times New Roman"/>
              </w:rPr>
              <w:t>Law and Order</w:t>
            </w:r>
          </w:p>
        </w:tc>
        <w:tc>
          <w:tcPr>
            <w:tcW w:w="1134" w:type="dxa"/>
          </w:tcPr>
          <w:p w:rsidR="007024A2" w:rsidRDefault="001B2819" w:rsidP="00712116">
            <w:pPr>
              <w:rPr>
                <w:rFonts w:cs="Times New Roman"/>
              </w:rPr>
            </w:pPr>
            <w:r>
              <w:rPr>
                <w:rFonts w:cs="Times New Roman"/>
              </w:rPr>
              <w:t>0.909</w:t>
            </w:r>
          </w:p>
        </w:tc>
        <w:tc>
          <w:tcPr>
            <w:tcW w:w="1134" w:type="dxa"/>
          </w:tcPr>
          <w:p w:rsidR="007024A2" w:rsidRDefault="007024A2" w:rsidP="001B2819">
            <w:pPr>
              <w:rPr>
                <w:rFonts w:cs="Times New Roman"/>
              </w:rPr>
            </w:pPr>
            <w:r>
              <w:rPr>
                <w:rFonts w:cs="Times New Roman"/>
              </w:rPr>
              <w:t>0.</w:t>
            </w:r>
            <w:r w:rsidR="001B2819">
              <w:rPr>
                <w:rFonts w:cs="Times New Roman"/>
              </w:rPr>
              <w:t>900</w:t>
            </w:r>
          </w:p>
        </w:tc>
        <w:tc>
          <w:tcPr>
            <w:tcW w:w="1134" w:type="dxa"/>
          </w:tcPr>
          <w:p w:rsidR="007024A2" w:rsidRDefault="007024A2" w:rsidP="0058267C">
            <w:pPr>
              <w:rPr>
                <w:rFonts w:cs="Times New Roman"/>
              </w:rPr>
            </w:pPr>
            <w:r>
              <w:rPr>
                <w:rFonts w:cs="Times New Roman"/>
              </w:rPr>
              <w:t>0.916</w:t>
            </w:r>
          </w:p>
        </w:tc>
        <w:tc>
          <w:tcPr>
            <w:tcW w:w="1134" w:type="dxa"/>
          </w:tcPr>
          <w:p w:rsidR="007024A2" w:rsidRDefault="007024A2" w:rsidP="00712116">
            <w:pPr>
              <w:rPr>
                <w:rFonts w:cs="Times New Roman"/>
              </w:rPr>
            </w:pPr>
          </w:p>
        </w:tc>
        <w:tc>
          <w:tcPr>
            <w:tcW w:w="1104" w:type="dxa"/>
          </w:tcPr>
          <w:p w:rsidR="007024A2" w:rsidRDefault="007024A2" w:rsidP="00712116">
            <w:pPr>
              <w:rPr>
                <w:rFonts w:cs="Times New Roman"/>
              </w:rPr>
            </w:pPr>
          </w:p>
        </w:tc>
      </w:tr>
      <w:tr w:rsidR="007024A2" w:rsidTr="00712116">
        <w:tc>
          <w:tcPr>
            <w:tcW w:w="3936" w:type="dxa"/>
          </w:tcPr>
          <w:p w:rsidR="007024A2" w:rsidRDefault="00802406" w:rsidP="00712116">
            <w:pPr>
              <w:rPr>
                <w:rFonts w:cs="Times New Roman"/>
              </w:rPr>
            </w:pPr>
            <w:r>
              <w:rPr>
                <w:rFonts w:cs="Times New Roman"/>
              </w:rPr>
              <w:t>External Conflict</w:t>
            </w:r>
          </w:p>
        </w:tc>
        <w:tc>
          <w:tcPr>
            <w:tcW w:w="1134" w:type="dxa"/>
          </w:tcPr>
          <w:p w:rsidR="007024A2" w:rsidRDefault="001B2819" w:rsidP="00712116">
            <w:pPr>
              <w:rPr>
                <w:rFonts w:cs="Times New Roman"/>
              </w:rPr>
            </w:pPr>
            <w:r>
              <w:rPr>
                <w:rFonts w:cs="Times New Roman"/>
              </w:rPr>
              <w:t>-0.198</w:t>
            </w:r>
          </w:p>
        </w:tc>
        <w:tc>
          <w:tcPr>
            <w:tcW w:w="1134" w:type="dxa"/>
          </w:tcPr>
          <w:p w:rsidR="007024A2" w:rsidRDefault="001B2819" w:rsidP="001B2819">
            <w:pPr>
              <w:rPr>
                <w:rFonts w:cs="Times New Roman"/>
              </w:rPr>
            </w:pPr>
            <w:r>
              <w:rPr>
                <w:rFonts w:cs="Times New Roman"/>
              </w:rPr>
              <w:t>-</w:t>
            </w:r>
            <w:r w:rsidR="007024A2">
              <w:rPr>
                <w:rFonts w:cs="Times New Roman"/>
              </w:rPr>
              <w:t>0.</w:t>
            </w:r>
            <w:r>
              <w:rPr>
                <w:rFonts w:cs="Times New Roman"/>
              </w:rPr>
              <w:t>202</w:t>
            </w:r>
          </w:p>
        </w:tc>
        <w:tc>
          <w:tcPr>
            <w:tcW w:w="1134"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04" w:type="dxa"/>
          </w:tcPr>
          <w:p w:rsidR="007024A2" w:rsidRDefault="007024A2" w:rsidP="00712116">
            <w:pPr>
              <w:rPr>
                <w:rFonts w:cs="Times New Roman"/>
              </w:rPr>
            </w:pPr>
          </w:p>
        </w:tc>
      </w:tr>
      <w:tr w:rsidR="007024A2" w:rsidTr="00712116">
        <w:tc>
          <w:tcPr>
            <w:tcW w:w="3936" w:type="dxa"/>
          </w:tcPr>
          <w:p w:rsidR="007024A2" w:rsidRDefault="007024A2" w:rsidP="00712116">
            <w:pPr>
              <w:rPr>
                <w:rFonts w:cs="Times New Roman"/>
              </w:rPr>
            </w:pPr>
            <w:r>
              <w:rPr>
                <w:rFonts w:cs="Times New Roman"/>
              </w:rPr>
              <w:t>Democratic Accountability</w:t>
            </w:r>
          </w:p>
        </w:tc>
        <w:tc>
          <w:tcPr>
            <w:tcW w:w="1134" w:type="dxa"/>
          </w:tcPr>
          <w:p w:rsidR="007024A2" w:rsidRDefault="001B2819" w:rsidP="00712116">
            <w:pPr>
              <w:rPr>
                <w:rFonts w:cs="Times New Roman"/>
              </w:rPr>
            </w:pPr>
            <w:r>
              <w:rPr>
                <w:rFonts w:cs="Times New Roman"/>
              </w:rPr>
              <w:t>-0.012</w:t>
            </w:r>
          </w:p>
        </w:tc>
        <w:tc>
          <w:tcPr>
            <w:tcW w:w="1134"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04" w:type="dxa"/>
          </w:tcPr>
          <w:p w:rsidR="007024A2" w:rsidRDefault="007024A2" w:rsidP="00712116">
            <w:pPr>
              <w:rPr>
                <w:rFonts w:cs="Times New Roman"/>
              </w:rPr>
            </w:pPr>
          </w:p>
        </w:tc>
      </w:tr>
      <w:tr w:rsidR="007024A2" w:rsidTr="00712116">
        <w:tc>
          <w:tcPr>
            <w:tcW w:w="3936"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34" w:type="dxa"/>
          </w:tcPr>
          <w:p w:rsidR="007024A2" w:rsidRDefault="007024A2" w:rsidP="00712116">
            <w:pPr>
              <w:rPr>
                <w:rFonts w:cs="Times New Roman"/>
              </w:rPr>
            </w:pPr>
          </w:p>
        </w:tc>
        <w:tc>
          <w:tcPr>
            <w:tcW w:w="1104" w:type="dxa"/>
          </w:tcPr>
          <w:p w:rsidR="007024A2" w:rsidRDefault="007024A2" w:rsidP="00712116">
            <w:pPr>
              <w:rPr>
                <w:rFonts w:cs="Times New Roman"/>
              </w:rPr>
            </w:pPr>
          </w:p>
        </w:tc>
      </w:tr>
      <w:tr w:rsidR="007024A2" w:rsidTr="00712116">
        <w:tc>
          <w:tcPr>
            <w:tcW w:w="3936" w:type="dxa"/>
          </w:tcPr>
          <w:p w:rsidR="007024A2" w:rsidRPr="00575D6C" w:rsidRDefault="007024A2" w:rsidP="00712116">
            <w:pPr>
              <w:rPr>
                <w:rFonts w:cs="Times New Roman"/>
                <w:i/>
              </w:rPr>
            </w:pPr>
            <w:r w:rsidRPr="00575D6C">
              <w:rPr>
                <w:rFonts w:cs="Times New Roman"/>
                <w:i/>
              </w:rPr>
              <w:t>R</w:t>
            </w:r>
            <w:r w:rsidRPr="00575D6C">
              <w:rPr>
                <w:rFonts w:cs="Times New Roman"/>
                <w:i/>
                <w:vertAlign w:val="superscript"/>
              </w:rPr>
              <w:t>2</w:t>
            </w:r>
          </w:p>
        </w:tc>
        <w:tc>
          <w:tcPr>
            <w:tcW w:w="1134" w:type="dxa"/>
          </w:tcPr>
          <w:p w:rsidR="007024A2" w:rsidRDefault="001B2819" w:rsidP="00712116">
            <w:pPr>
              <w:rPr>
                <w:rFonts w:cs="Times New Roman"/>
              </w:rPr>
            </w:pPr>
            <w:r>
              <w:rPr>
                <w:rFonts w:cs="Times New Roman"/>
              </w:rPr>
              <w:t>0.729</w:t>
            </w:r>
          </w:p>
        </w:tc>
        <w:tc>
          <w:tcPr>
            <w:tcW w:w="1134" w:type="dxa"/>
          </w:tcPr>
          <w:p w:rsidR="007024A2" w:rsidRDefault="001B2819" w:rsidP="00712116">
            <w:pPr>
              <w:rPr>
                <w:rFonts w:cs="Times New Roman"/>
              </w:rPr>
            </w:pPr>
            <w:r>
              <w:rPr>
                <w:rFonts w:cs="Times New Roman"/>
              </w:rPr>
              <w:t>0.729</w:t>
            </w:r>
          </w:p>
        </w:tc>
        <w:tc>
          <w:tcPr>
            <w:tcW w:w="1134" w:type="dxa"/>
          </w:tcPr>
          <w:p w:rsidR="007024A2" w:rsidRDefault="001B2819" w:rsidP="00712116">
            <w:pPr>
              <w:rPr>
                <w:rFonts w:cs="Times New Roman"/>
              </w:rPr>
            </w:pPr>
            <w:r>
              <w:rPr>
                <w:rFonts w:cs="Times New Roman"/>
              </w:rPr>
              <w:t>0.716</w:t>
            </w:r>
          </w:p>
        </w:tc>
        <w:tc>
          <w:tcPr>
            <w:tcW w:w="1134" w:type="dxa"/>
          </w:tcPr>
          <w:p w:rsidR="007024A2" w:rsidRDefault="001B2819" w:rsidP="00712116">
            <w:pPr>
              <w:rPr>
                <w:rFonts w:cs="Times New Roman"/>
              </w:rPr>
            </w:pPr>
            <w:r>
              <w:rPr>
                <w:rFonts w:cs="Times New Roman"/>
              </w:rPr>
              <w:t>0.699</w:t>
            </w:r>
          </w:p>
        </w:tc>
        <w:tc>
          <w:tcPr>
            <w:tcW w:w="1104" w:type="dxa"/>
          </w:tcPr>
          <w:p w:rsidR="007024A2" w:rsidRDefault="001B2819" w:rsidP="00712116">
            <w:pPr>
              <w:rPr>
                <w:rFonts w:cs="Times New Roman"/>
              </w:rPr>
            </w:pPr>
            <w:r>
              <w:rPr>
                <w:rFonts w:cs="Times New Roman"/>
              </w:rPr>
              <w:t>0.655</w:t>
            </w:r>
          </w:p>
        </w:tc>
      </w:tr>
      <w:tr w:rsidR="007024A2" w:rsidTr="00712116">
        <w:tc>
          <w:tcPr>
            <w:tcW w:w="3936" w:type="dxa"/>
          </w:tcPr>
          <w:p w:rsidR="007024A2" w:rsidRDefault="007024A2" w:rsidP="00575D6C">
            <w:pPr>
              <w:rPr>
                <w:rFonts w:cs="Times New Roman"/>
              </w:rPr>
            </w:pPr>
            <w:r>
              <w:rPr>
                <w:rFonts w:cs="Times New Roman"/>
              </w:rPr>
              <w:t xml:space="preserve">Adjusted </w:t>
            </w:r>
            <w:r w:rsidRPr="00575D6C">
              <w:rPr>
                <w:rFonts w:cs="Times New Roman"/>
                <w:i/>
              </w:rPr>
              <w:t>R</w:t>
            </w:r>
            <w:r w:rsidRPr="00575D6C">
              <w:rPr>
                <w:rFonts w:cs="Times New Roman"/>
                <w:i/>
                <w:vertAlign w:val="superscript"/>
              </w:rPr>
              <w:t>2</w:t>
            </w:r>
          </w:p>
        </w:tc>
        <w:tc>
          <w:tcPr>
            <w:tcW w:w="1134" w:type="dxa"/>
          </w:tcPr>
          <w:p w:rsidR="007024A2" w:rsidRDefault="001B2819" w:rsidP="00712116">
            <w:pPr>
              <w:rPr>
                <w:rFonts w:cs="Times New Roman"/>
              </w:rPr>
            </w:pPr>
            <w:r>
              <w:rPr>
                <w:rFonts w:cs="Times New Roman"/>
              </w:rPr>
              <w:t>0.391</w:t>
            </w:r>
          </w:p>
        </w:tc>
        <w:tc>
          <w:tcPr>
            <w:tcW w:w="1134" w:type="dxa"/>
          </w:tcPr>
          <w:p w:rsidR="007024A2" w:rsidRDefault="001B2819" w:rsidP="00712116">
            <w:pPr>
              <w:rPr>
                <w:rFonts w:cs="Times New Roman"/>
              </w:rPr>
            </w:pPr>
            <w:r>
              <w:rPr>
                <w:rFonts w:cs="Times New Roman"/>
              </w:rPr>
              <w:t>0.512</w:t>
            </w:r>
          </w:p>
        </w:tc>
        <w:tc>
          <w:tcPr>
            <w:tcW w:w="1134" w:type="dxa"/>
          </w:tcPr>
          <w:p w:rsidR="007024A2" w:rsidRDefault="001B2819" w:rsidP="00712116">
            <w:pPr>
              <w:rPr>
                <w:rFonts w:cs="Times New Roman"/>
              </w:rPr>
            </w:pPr>
            <w:r>
              <w:rPr>
                <w:rFonts w:cs="Times New Roman"/>
              </w:rPr>
              <w:t>0.574</w:t>
            </w:r>
          </w:p>
        </w:tc>
        <w:tc>
          <w:tcPr>
            <w:tcW w:w="1134" w:type="dxa"/>
          </w:tcPr>
          <w:p w:rsidR="007024A2" w:rsidRDefault="001B2819" w:rsidP="00712116">
            <w:pPr>
              <w:rPr>
                <w:rFonts w:cs="Times New Roman"/>
              </w:rPr>
            </w:pPr>
            <w:r>
              <w:rPr>
                <w:rFonts w:cs="Times New Roman"/>
              </w:rPr>
              <w:t>0.612</w:t>
            </w:r>
          </w:p>
        </w:tc>
        <w:tc>
          <w:tcPr>
            <w:tcW w:w="1104" w:type="dxa"/>
          </w:tcPr>
          <w:p w:rsidR="007024A2" w:rsidRDefault="001B2819" w:rsidP="00712116">
            <w:pPr>
              <w:rPr>
                <w:rFonts w:cs="Times New Roman"/>
              </w:rPr>
            </w:pPr>
            <w:r>
              <w:rPr>
                <w:rFonts w:cs="Times New Roman"/>
              </w:rPr>
              <w:t>0.611</w:t>
            </w:r>
          </w:p>
        </w:tc>
      </w:tr>
    </w:tbl>
    <w:p w:rsidR="00A36E90" w:rsidRDefault="001B2819" w:rsidP="00712116">
      <w:pPr>
        <w:rPr>
          <w:rFonts w:cs="Times New Roman"/>
          <w:sz w:val="20"/>
          <w:szCs w:val="20"/>
        </w:rPr>
      </w:pPr>
      <w:r w:rsidRPr="004F12C4">
        <w:rPr>
          <w:rFonts w:cs="Times New Roman"/>
          <w:sz w:val="20"/>
          <w:szCs w:val="20"/>
        </w:rPr>
        <w:t>The entries for the variables are the standardised Beta Coefficients</w:t>
      </w:r>
    </w:p>
    <w:p w:rsidR="00C12EE1" w:rsidRPr="004F12C4" w:rsidRDefault="00C12EE1" w:rsidP="00712116">
      <w:pPr>
        <w:rPr>
          <w:rFonts w:cs="Times New Roman"/>
          <w:sz w:val="20"/>
          <w:szCs w:val="20"/>
        </w:rPr>
      </w:pPr>
      <w:r w:rsidRPr="00F035CC">
        <w:rPr>
          <w:rFonts w:cs="Times New Roman"/>
          <w:b/>
          <w:color w:val="000000"/>
          <w:sz w:val="18"/>
          <w:szCs w:val="18"/>
          <w:vertAlign w:val="superscript"/>
        </w:rPr>
        <w:t>**</w:t>
      </w:r>
      <w:r w:rsidRPr="00F035CC">
        <w:rPr>
          <w:rFonts w:cs="Times New Roman"/>
          <w:color w:val="000000"/>
          <w:sz w:val="18"/>
          <w:szCs w:val="18"/>
        </w:rPr>
        <w:t>p</w:t>
      </w:r>
      <w:r w:rsidRPr="00F035CC">
        <w:rPr>
          <w:rFonts w:cs="Times New Roman"/>
          <w:sz w:val="18"/>
          <w:szCs w:val="18"/>
        </w:rPr>
        <w:t>&lt;0.01(2-tailed)</w:t>
      </w:r>
    </w:p>
    <w:p w:rsidR="001B2819" w:rsidRDefault="001B2819" w:rsidP="002119EC">
      <w:pPr>
        <w:rPr>
          <w:rFonts w:cs="Times New Roman"/>
        </w:rPr>
      </w:pPr>
    </w:p>
    <w:p w:rsidR="0009799A" w:rsidRDefault="00844C41" w:rsidP="002119EC">
      <w:pPr>
        <w:rPr>
          <w:rFonts w:cs="Times New Roman"/>
        </w:rPr>
      </w:pPr>
      <w:r>
        <w:rPr>
          <w:rFonts w:cs="Times New Roman"/>
        </w:rPr>
        <w:t xml:space="preserve">The variable Bureaucracy Quality </w:t>
      </w:r>
      <w:r w:rsidR="00C12EE1">
        <w:rPr>
          <w:rFonts w:cs="Times New Roman"/>
        </w:rPr>
        <w:t xml:space="preserve">as shown in Table 6 could not be computed because the variable </w:t>
      </w:r>
      <w:r>
        <w:rPr>
          <w:rFonts w:cs="Times New Roman"/>
        </w:rPr>
        <w:t xml:space="preserve">remained constant over the study period. </w:t>
      </w:r>
      <w:r w:rsidR="002119EC">
        <w:rPr>
          <w:rFonts w:cs="Times New Roman"/>
        </w:rPr>
        <w:t>Net telecommunications FDI inflow correlates positively</w:t>
      </w:r>
      <w:r w:rsidR="0009799A">
        <w:rPr>
          <w:rFonts w:cs="Times New Roman"/>
        </w:rPr>
        <w:t xml:space="preserve"> with</w:t>
      </w:r>
      <w:r w:rsidR="002119EC">
        <w:rPr>
          <w:rFonts w:cs="Times New Roman"/>
        </w:rPr>
        <w:t xml:space="preserve"> </w:t>
      </w:r>
      <w:r w:rsidR="004B5203">
        <w:rPr>
          <w:rFonts w:cs="Times New Roman"/>
        </w:rPr>
        <w:t xml:space="preserve">Government Stability, Socioeconomic Conditions, Investment Profile, Internal Conflict, Corruption, Religion in Politics, Law and Order, Ethnic Tensions, </w:t>
      </w:r>
      <w:r w:rsidR="0009799A">
        <w:rPr>
          <w:rFonts w:cs="Times New Roman"/>
        </w:rPr>
        <w:t xml:space="preserve">and </w:t>
      </w:r>
      <w:r w:rsidR="004B5203">
        <w:rPr>
          <w:rFonts w:cs="Times New Roman"/>
        </w:rPr>
        <w:t xml:space="preserve">Democratic Accountability. </w:t>
      </w:r>
      <w:r w:rsidR="00647EE6">
        <w:rPr>
          <w:rFonts w:cs="Times New Roman"/>
        </w:rPr>
        <w:t xml:space="preserve">However, </w:t>
      </w:r>
      <w:r w:rsidR="004B5203">
        <w:rPr>
          <w:rFonts w:cs="Times New Roman"/>
        </w:rPr>
        <w:t xml:space="preserve">the relationship between FDI inflow and External Conflict and Military in Politics is negative. </w:t>
      </w:r>
      <w:r w:rsidR="0009799A">
        <w:rPr>
          <w:rFonts w:cs="Times New Roman"/>
        </w:rPr>
        <w:t>T</w:t>
      </w:r>
      <w:r w:rsidR="004B5203">
        <w:rPr>
          <w:rFonts w:cs="Times New Roman"/>
        </w:rPr>
        <w:t xml:space="preserve">able 6 </w:t>
      </w:r>
      <w:r w:rsidR="00853934">
        <w:rPr>
          <w:rFonts w:cs="Times New Roman"/>
        </w:rPr>
        <w:t xml:space="preserve">also </w:t>
      </w:r>
      <w:r w:rsidR="004B5203">
        <w:rPr>
          <w:rFonts w:cs="Times New Roman"/>
        </w:rPr>
        <w:t xml:space="preserve">ranks all the variables and </w:t>
      </w:r>
      <w:r w:rsidR="00853934">
        <w:rPr>
          <w:rFonts w:cs="Times New Roman"/>
        </w:rPr>
        <w:t>indicates significance with the aim of ordering the importance of each political risk component to explaining FDI inflow</w:t>
      </w:r>
      <w:r w:rsidR="003F7427">
        <w:rPr>
          <w:rFonts w:cs="Times New Roman"/>
        </w:rPr>
        <w:t>.</w:t>
      </w:r>
      <w:r w:rsidR="004B5203">
        <w:rPr>
          <w:rFonts w:cs="Times New Roman"/>
        </w:rPr>
        <w:t xml:space="preserve"> The variables with significant results are ranked as follows: (1) Corruption (0.809), (2) Law and Order (0.779), (3) Democratic Accountability (0.763), (4) External Conflict (-0.718), and (5) Investment Profile (0.690). This could be interpreted that, separately, </w:t>
      </w:r>
      <w:r w:rsidR="00853934">
        <w:rPr>
          <w:rFonts w:cs="Times New Roman"/>
        </w:rPr>
        <w:t>with the exception of the external conflict variable</w:t>
      </w:r>
      <w:r w:rsidR="00E8398D">
        <w:rPr>
          <w:rFonts w:cs="Times New Roman"/>
        </w:rPr>
        <w:t>,</w:t>
      </w:r>
      <w:r w:rsidR="00853934">
        <w:rPr>
          <w:rFonts w:cs="Times New Roman"/>
        </w:rPr>
        <w:t xml:space="preserve"> </w:t>
      </w:r>
      <w:r w:rsidR="00647EE6">
        <w:rPr>
          <w:rFonts w:cs="Times New Roman"/>
        </w:rPr>
        <w:t xml:space="preserve">when </w:t>
      </w:r>
      <w:r w:rsidR="004B5203">
        <w:rPr>
          <w:rFonts w:cs="Times New Roman"/>
        </w:rPr>
        <w:t xml:space="preserve">all the significant variables increase </w:t>
      </w:r>
      <w:r w:rsidR="00490360">
        <w:rPr>
          <w:rFonts w:cs="Times New Roman"/>
        </w:rPr>
        <w:t xml:space="preserve">(risk reduces) </w:t>
      </w:r>
      <w:r w:rsidR="004B5203">
        <w:rPr>
          <w:rFonts w:cs="Times New Roman"/>
        </w:rPr>
        <w:t xml:space="preserve">FDI inflow could also increase. </w:t>
      </w:r>
    </w:p>
    <w:p w:rsidR="004B5203" w:rsidRDefault="00490360" w:rsidP="0009799A">
      <w:pPr>
        <w:ind w:firstLine="720"/>
        <w:rPr>
          <w:rFonts w:cs="Times New Roman"/>
        </w:rPr>
      </w:pPr>
      <w:r>
        <w:rPr>
          <w:rFonts w:cs="Times New Roman"/>
        </w:rPr>
        <w:t xml:space="preserve">Contrary to expectation, </w:t>
      </w:r>
      <w:r w:rsidR="00C12EE1">
        <w:rPr>
          <w:rFonts w:cs="Times New Roman"/>
        </w:rPr>
        <w:t>when</w:t>
      </w:r>
      <w:r>
        <w:rPr>
          <w:rFonts w:cs="Times New Roman"/>
        </w:rPr>
        <w:t xml:space="preserve"> the external conflict variable reduces (risk increases) FDI inflow increases. Although the evident trend of reduction in the score of the external conflict variable over the period is small it </w:t>
      </w:r>
      <w:r w:rsidR="00647EE6">
        <w:rPr>
          <w:rFonts w:cs="Times New Roman"/>
        </w:rPr>
        <w:t>does appear</w:t>
      </w:r>
      <w:r>
        <w:rPr>
          <w:rFonts w:cs="Times New Roman"/>
        </w:rPr>
        <w:t xml:space="preserve"> to influence FDI inflow</w:t>
      </w:r>
      <w:r w:rsidR="00C8678E">
        <w:rPr>
          <w:rFonts w:cs="Times New Roman"/>
        </w:rPr>
        <w:t xml:space="preserve"> positively</w:t>
      </w:r>
      <w:r>
        <w:rPr>
          <w:rFonts w:cs="Times New Roman"/>
        </w:rPr>
        <w:t xml:space="preserve">. </w:t>
      </w:r>
      <w:r w:rsidR="00A5123C">
        <w:rPr>
          <w:rFonts w:cs="Times New Roman"/>
        </w:rPr>
        <w:t xml:space="preserve">On one hand, this trend could have resulted from a relative increase in one of the subcomponents (war, cross-border conflict, foreign pressures). </w:t>
      </w:r>
      <w:r w:rsidR="00C8678E">
        <w:rPr>
          <w:rFonts w:cs="Times New Roman"/>
        </w:rPr>
        <w:t>According to the PRS group’s evaluation, the</w:t>
      </w:r>
      <w:r w:rsidR="00C8678E" w:rsidRPr="00C8678E">
        <w:rPr>
          <w:rFonts w:cs="Times New Roman"/>
        </w:rPr>
        <w:t xml:space="preserve"> external conflict </w:t>
      </w:r>
      <w:r w:rsidR="00C8678E">
        <w:rPr>
          <w:rFonts w:cs="Times New Roman"/>
        </w:rPr>
        <w:t xml:space="preserve">variable assesses </w:t>
      </w:r>
      <w:r w:rsidR="00C8678E" w:rsidRPr="00C8678E">
        <w:rPr>
          <w:rFonts w:cs="Times New Roman"/>
        </w:rPr>
        <w:t xml:space="preserve">the risk to the incumbent government from foreign action, ranging from non-violent </w:t>
      </w:r>
      <w:r w:rsidR="00C8678E">
        <w:rPr>
          <w:rFonts w:cs="Times New Roman"/>
        </w:rPr>
        <w:t xml:space="preserve">to violent </w:t>
      </w:r>
      <w:r w:rsidR="00C8678E" w:rsidRPr="00C8678E">
        <w:rPr>
          <w:rFonts w:cs="Times New Roman"/>
        </w:rPr>
        <w:t xml:space="preserve">external pressure.  </w:t>
      </w:r>
      <w:r w:rsidR="00145315">
        <w:rPr>
          <w:rFonts w:cs="Times New Roman"/>
        </w:rPr>
        <w:t xml:space="preserve">Perhaps this change in the variable could have </w:t>
      </w:r>
      <w:r w:rsidR="00145315">
        <w:rPr>
          <w:rFonts w:cs="Times New Roman"/>
        </w:rPr>
        <w:lastRenderedPageBreak/>
        <w:t xml:space="preserve">resulted from external diplomatic pressures or sanctions rather than cross-border conflicts or war. It could also be </w:t>
      </w:r>
      <w:r w:rsidR="00C8678E">
        <w:rPr>
          <w:rFonts w:cs="Times New Roman"/>
        </w:rPr>
        <w:t>argued that</w:t>
      </w:r>
      <w:r w:rsidR="00145315">
        <w:rPr>
          <w:rFonts w:cs="Times New Roman"/>
        </w:rPr>
        <w:t>,</w:t>
      </w:r>
      <w:r w:rsidR="00C8678E">
        <w:rPr>
          <w:rFonts w:cs="Times New Roman"/>
        </w:rPr>
        <w:t xml:space="preserve"> </w:t>
      </w:r>
      <w:r w:rsidR="00A5123C">
        <w:rPr>
          <w:rFonts w:cs="Times New Roman"/>
        </w:rPr>
        <w:t xml:space="preserve">in the telecommunications sector, </w:t>
      </w:r>
      <w:r w:rsidR="00145315">
        <w:rPr>
          <w:rFonts w:cs="Times New Roman"/>
        </w:rPr>
        <w:t>non-violent external pressures do not significantly influence the expansion of operations.</w:t>
      </w:r>
      <w:r w:rsidR="00A5123C">
        <w:rPr>
          <w:rFonts w:cs="Times New Roman"/>
        </w:rPr>
        <w:t xml:space="preserve"> </w:t>
      </w:r>
      <w:r w:rsidR="001A1B46">
        <w:rPr>
          <w:rFonts w:cs="Times New Roman"/>
        </w:rPr>
        <w:t>Also</w:t>
      </w:r>
      <w:r w:rsidR="00145315">
        <w:rPr>
          <w:rFonts w:cs="Times New Roman"/>
        </w:rPr>
        <w:t xml:space="preserve">, in the event of cross-border conflicts, planned </w:t>
      </w:r>
      <w:r w:rsidR="00A5123C">
        <w:rPr>
          <w:rFonts w:cs="Times New Roman"/>
        </w:rPr>
        <w:t>expansion into neighbouring countries are postponed</w:t>
      </w:r>
      <w:r w:rsidR="003E5289">
        <w:rPr>
          <w:rFonts w:cs="Times New Roman"/>
        </w:rPr>
        <w:t xml:space="preserve">, thereby prompting </w:t>
      </w:r>
      <w:r w:rsidR="00A5123C">
        <w:rPr>
          <w:rFonts w:cs="Times New Roman"/>
        </w:rPr>
        <w:t xml:space="preserve">further expansion in the existing market. </w:t>
      </w:r>
      <w:r w:rsidR="00AD3471">
        <w:rPr>
          <w:rFonts w:cs="Times New Roman"/>
        </w:rPr>
        <w:t xml:space="preserve">Although </w:t>
      </w:r>
      <w:r w:rsidR="003E5289">
        <w:rPr>
          <w:rFonts w:cs="Times New Roman"/>
        </w:rPr>
        <w:t>further research is required to strengthen this argument</w:t>
      </w:r>
      <w:r w:rsidR="00AD3471">
        <w:rPr>
          <w:rFonts w:cs="Times New Roman"/>
        </w:rPr>
        <w:t xml:space="preserve">, it is </w:t>
      </w:r>
      <w:r w:rsidR="0009799A">
        <w:rPr>
          <w:rFonts w:cs="Times New Roman"/>
        </w:rPr>
        <w:t>plausible</w:t>
      </w:r>
      <w:r w:rsidR="003E5289">
        <w:rPr>
          <w:rFonts w:cs="Times New Roman"/>
        </w:rPr>
        <w:t>,</w:t>
      </w:r>
      <w:r w:rsidR="0009799A">
        <w:rPr>
          <w:rFonts w:cs="Times New Roman"/>
        </w:rPr>
        <w:t xml:space="preserve"> </w:t>
      </w:r>
      <w:r w:rsidR="00AD3471">
        <w:rPr>
          <w:rFonts w:cs="Times New Roman"/>
        </w:rPr>
        <w:t xml:space="preserve">in the </w:t>
      </w:r>
      <w:r w:rsidR="00E8398D">
        <w:rPr>
          <w:rFonts w:cs="Times New Roman"/>
        </w:rPr>
        <w:t xml:space="preserve">Nigerian </w:t>
      </w:r>
      <w:r w:rsidR="00AD3471">
        <w:rPr>
          <w:rFonts w:cs="Times New Roman"/>
        </w:rPr>
        <w:t>case</w:t>
      </w:r>
      <w:r w:rsidR="003E5289">
        <w:rPr>
          <w:rFonts w:cs="Times New Roman"/>
        </w:rPr>
        <w:t>,</w:t>
      </w:r>
      <w:r w:rsidR="00AD3471">
        <w:rPr>
          <w:rFonts w:cs="Times New Roman"/>
        </w:rPr>
        <w:t xml:space="preserve"> because of the</w:t>
      </w:r>
      <w:r w:rsidR="00E8398D">
        <w:rPr>
          <w:rFonts w:cs="Times New Roman"/>
        </w:rPr>
        <w:t xml:space="preserve"> relative</w:t>
      </w:r>
      <w:r w:rsidR="00AD3471">
        <w:rPr>
          <w:rFonts w:cs="Times New Roman"/>
        </w:rPr>
        <w:t xml:space="preserve"> large </w:t>
      </w:r>
      <w:r w:rsidR="0009799A">
        <w:rPr>
          <w:rFonts w:cs="Times New Roman"/>
        </w:rPr>
        <w:t xml:space="preserve">market </w:t>
      </w:r>
      <w:r w:rsidR="00AD3471">
        <w:rPr>
          <w:rFonts w:cs="Times New Roman"/>
        </w:rPr>
        <w:t xml:space="preserve">size </w:t>
      </w:r>
      <w:r w:rsidR="00647EE6">
        <w:rPr>
          <w:rFonts w:cs="Times New Roman"/>
        </w:rPr>
        <w:t xml:space="preserve">compared </w:t>
      </w:r>
      <w:r w:rsidR="00AD3471">
        <w:rPr>
          <w:rFonts w:cs="Times New Roman"/>
        </w:rPr>
        <w:t xml:space="preserve">to </w:t>
      </w:r>
      <w:r w:rsidR="0009799A">
        <w:rPr>
          <w:rFonts w:cs="Times New Roman"/>
        </w:rPr>
        <w:t>neighbour</w:t>
      </w:r>
      <w:r w:rsidR="003E5289">
        <w:rPr>
          <w:rFonts w:cs="Times New Roman"/>
        </w:rPr>
        <w:t>ing countries</w:t>
      </w:r>
      <w:r w:rsidR="00AD3471">
        <w:rPr>
          <w:rFonts w:cs="Times New Roman"/>
        </w:rPr>
        <w:t>. In this regard</w:t>
      </w:r>
      <w:r w:rsidR="003E5289">
        <w:rPr>
          <w:rFonts w:cs="Times New Roman"/>
        </w:rPr>
        <w:t>,</w:t>
      </w:r>
      <w:r w:rsidR="00AD3471">
        <w:rPr>
          <w:rFonts w:cs="Times New Roman"/>
        </w:rPr>
        <w:t xml:space="preserve"> </w:t>
      </w:r>
      <w:r w:rsidR="0009799A">
        <w:rPr>
          <w:rFonts w:cs="Times New Roman"/>
        </w:rPr>
        <w:t xml:space="preserve">external pressures or conflicts were likely to benefit the larger economy. </w:t>
      </w:r>
      <w:r w:rsidR="00AD3471">
        <w:rPr>
          <w:rFonts w:cs="Times New Roman"/>
        </w:rPr>
        <w:t xml:space="preserve">As expected, variable increase (risk reduction) for corruption, </w:t>
      </w:r>
      <w:r w:rsidR="004B5203">
        <w:rPr>
          <w:rFonts w:cs="Times New Roman"/>
        </w:rPr>
        <w:t xml:space="preserve">law and order, democratic accountability and investment profile </w:t>
      </w:r>
      <w:r w:rsidR="00AD3471">
        <w:rPr>
          <w:rFonts w:cs="Times New Roman"/>
        </w:rPr>
        <w:t xml:space="preserve">increase </w:t>
      </w:r>
      <w:r w:rsidR="004B5203">
        <w:rPr>
          <w:rFonts w:cs="Times New Roman"/>
        </w:rPr>
        <w:t xml:space="preserve">FDI inflow. </w:t>
      </w:r>
      <w:r w:rsidR="00C12EE1">
        <w:rPr>
          <w:rFonts w:cs="Times New Roman"/>
        </w:rPr>
        <w:t xml:space="preserve">Reduced corruption gives an extra incentive to </w:t>
      </w:r>
      <w:r w:rsidR="005C5B4E">
        <w:rPr>
          <w:rFonts w:cs="Times New Roman"/>
        </w:rPr>
        <w:t xml:space="preserve">foreign </w:t>
      </w:r>
      <w:r w:rsidR="00C12EE1">
        <w:rPr>
          <w:rFonts w:cs="Times New Roman"/>
        </w:rPr>
        <w:t>firms to invest more because of the likelihood of improved returns on investment.</w:t>
      </w:r>
    </w:p>
    <w:p w:rsidR="00C55CBD" w:rsidRDefault="000622B7" w:rsidP="005905D0">
      <w:pPr>
        <w:tabs>
          <w:tab w:val="left" w:pos="3420"/>
        </w:tabs>
        <w:ind w:firstLine="720"/>
        <w:rPr>
          <w:rFonts w:cs="Times New Roman"/>
        </w:rPr>
      </w:pPr>
      <w:r>
        <w:rPr>
          <w:rFonts w:cs="Times New Roman"/>
        </w:rPr>
        <w:t xml:space="preserve">Backward multiple </w:t>
      </w:r>
      <w:r w:rsidR="00647EE6">
        <w:rPr>
          <w:rFonts w:cs="Times New Roman"/>
        </w:rPr>
        <w:t>regressions</w:t>
      </w:r>
      <w:r>
        <w:rPr>
          <w:rFonts w:cs="Times New Roman"/>
        </w:rPr>
        <w:t xml:space="preserve"> of the variables with significant results </w:t>
      </w:r>
      <w:r w:rsidR="00540ED9">
        <w:rPr>
          <w:rFonts w:cs="Times New Roman"/>
        </w:rPr>
        <w:t>from the correlation matrix in T</w:t>
      </w:r>
      <w:r>
        <w:rPr>
          <w:rFonts w:cs="Times New Roman"/>
        </w:rPr>
        <w:t xml:space="preserve">able 6 together revealed that </w:t>
      </w:r>
      <w:r w:rsidR="005A19D7">
        <w:rPr>
          <w:rFonts w:cs="Times New Roman"/>
        </w:rPr>
        <w:t>only corruption generat</w:t>
      </w:r>
      <w:r>
        <w:rPr>
          <w:rFonts w:cs="Times New Roman"/>
        </w:rPr>
        <w:t>ed</w:t>
      </w:r>
      <w:r w:rsidR="005A19D7">
        <w:rPr>
          <w:rFonts w:cs="Times New Roman"/>
        </w:rPr>
        <w:t xml:space="preserve"> a significant result as shown in </w:t>
      </w:r>
      <w:r w:rsidR="00540ED9">
        <w:rPr>
          <w:rFonts w:cs="Times New Roman"/>
        </w:rPr>
        <w:t>T</w:t>
      </w:r>
      <w:r w:rsidR="005A19D7">
        <w:rPr>
          <w:rFonts w:cs="Times New Roman"/>
        </w:rPr>
        <w:t>able 7. The R Square value of 0.6</w:t>
      </w:r>
      <w:r w:rsidR="00647EE6">
        <w:rPr>
          <w:rFonts w:cs="Times New Roman"/>
        </w:rPr>
        <w:t>5</w:t>
      </w:r>
      <w:r w:rsidR="005A19D7">
        <w:rPr>
          <w:rFonts w:cs="Times New Roman"/>
        </w:rPr>
        <w:t>5 is also an important result</w:t>
      </w:r>
      <w:r>
        <w:rPr>
          <w:rFonts w:cs="Times New Roman"/>
        </w:rPr>
        <w:t xml:space="preserve"> because it means that </w:t>
      </w:r>
      <w:r w:rsidR="005A19D7">
        <w:rPr>
          <w:rFonts w:cs="Times New Roman"/>
        </w:rPr>
        <w:t>over 65% of FDI inflow in</w:t>
      </w:r>
      <w:r w:rsidR="00E8398D">
        <w:rPr>
          <w:rFonts w:cs="Times New Roman"/>
        </w:rPr>
        <w:t>to</w:t>
      </w:r>
      <w:r w:rsidR="005A19D7">
        <w:rPr>
          <w:rFonts w:cs="Times New Roman"/>
        </w:rPr>
        <w:t xml:space="preserve"> the Nigerian </w:t>
      </w:r>
      <w:r w:rsidR="00E8398D">
        <w:rPr>
          <w:rFonts w:cs="Times New Roman"/>
        </w:rPr>
        <w:t>t</w:t>
      </w:r>
      <w:r w:rsidR="005A19D7">
        <w:rPr>
          <w:rFonts w:cs="Times New Roman"/>
        </w:rPr>
        <w:t>elecommunications sector is explained by corruption</w:t>
      </w:r>
      <w:r w:rsidR="00AD3471">
        <w:rPr>
          <w:rFonts w:cs="Times New Roman"/>
        </w:rPr>
        <w:t xml:space="preserve"> </w:t>
      </w:r>
      <w:r>
        <w:rPr>
          <w:rFonts w:cs="Times New Roman"/>
        </w:rPr>
        <w:t>alone</w:t>
      </w:r>
      <w:r w:rsidR="00AD3471">
        <w:rPr>
          <w:rFonts w:cs="Times New Roman"/>
        </w:rPr>
        <w:t xml:space="preserve">. </w:t>
      </w:r>
      <w:r w:rsidR="00D570AC">
        <w:rPr>
          <w:rFonts w:cs="Times New Roman"/>
        </w:rPr>
        <w:t xml:space="preserve">This </w:t>
      </w:r>
      <w:r w:rsidR="00AD3471">
        <w:rPr>
          <w:rFonts w:cs="Times New Roman"/>
        </w:rPr>
        <w:t xml:space="preserve">confirms that </w:t>
      </w:r>
      <w:r w:rsidR="00647EE6">
        <w:rPr>
          <w:rFonts w:cs="Times New Roman"/>
        </w:rPr>
        <w:t xml:space="preserve">by </w:t>
      </w:r>
      <w:r w:rsidR="00AD3471">
        <w:rPr>
          <w:rFonts w:cs="Times New Roman"/>
        </w:rPr>
        <w:t>reducing corruption alone</w:t>
      </w:r>
      <w:r w:rsidR="00647EE6">
        <w:rPr>
          <w:rFonts w:cs="Times New Roman"/>
        </w:rPr>
        <w:t>, this</w:t>
      </w:r>
      <w:r w:rsidR="00AD3471">
        <w:rPr>
          <w:rFonts w:cs="Times New Roman"/>
        </w:rPr>
        <w:t xml:space="preserve"> would increase Nigeria’s </w:t>
      </w:r>
      <w:r w:rsidR="00647EE6">
        <w:rPr>
          <w:rFonts w:cs="Times New Roman"/>
        </w:rPr>
        <w:t>t</w:t>
      </w:r>
      <w:r w:rsidR="00AD3471">
        <w:rPr>
          <w:rFonts w:cs="Times New Roman"/>
        </w:rPr>
        <w:t xml:space="preserve">elecommunications FDI inflow tremendously. </w:t>
      </w:r>
    </w:p>
    <w:p w:rsidR="00266346" w:rsidRPr="00C92385" w:rsidRDefault="00266346" w:rsidP="00B108CE">
      <w:pPr>
        <w:rPr>
          <w:rFonts w:cs="Times New Roman"/>
          <w:b/>
          <w:i/>
          <w:sz w:val="28"/>
          <w:szCs w:val="28"/>
        </w:rPr>
      </w:pPr>
    </w:p>
    <w:p w:rsidR="008E66A5" w:rsidRPr="00C92385" w:rsidRDefault="008E66A5" w:rsidP="00B108CE">
      <w:pPr>
        <w:rPr>
          <w:rFonts w:cs="Times New Roman"/>
          <w:b/>
        </w:rPr>
      </w:pPr>
      <w:r w:rsidRPr="00C92385">
        <w:rPr>
          <w:rFonts w:cs="Times New Roman"/>
          <w:b/>
        </w:rPr>
        <w:t>Conclusion</w:t>
      </w:r>
      <w:r w:rsidR="00736D12">
        <w:rPr>
          <w:rFonts w:cs="Times New Roman"/>
          <w:b/>
        </w:rPr>
        <w:t xml:space="preserve"> and Implications</w:t>
      </w:r>
    </w:p>
    <w:p w:rsidR="00266346" w:rsidRPr="00C92385" w:rsidRDefault="00266346" w:rsidP="00A5234A">
      <w:pPr>
        <w:rPr>
          <w:rFonts w:cs="Times New Roman"/>
        </w:rPr>
      </w:pPr>
      <w:r w:rsidRPr="00C92385">
        <w:rPr>
          <w:rFonts w:cs="Times New Roman"/>
        </w:rPr>
        <w:t>This study investigate</w:t>
      </w:r>
      <w:r w:rsidR="00A5234A" w:rsidRPr="00C92385">
        <w:rPr>
          <w:rFonts w:cs="Times New Roman"/>
        </w:rPr>
        <w:t>d</w:t>
      </w:r>
      <w:r w:rsidRPr="00C92385">
        <w:rPr>
          <w:rFonts w:cs="Times New Roman"/>
        </w:rPr>
        <w:t xml:space="preserve"> the influence of political risk </w:t>
      </w:r>
      <w:r w:rsidR="00E8398D">
        <w:rPr>
          <w:rFonts w:cs="Times New Roman"/>
        </w:rPr>
        <w:t xml:space="preserve">on the attraction of </w:t>
      </w:r>
      <w:r w:rsidRPr="00C92385">
        <w:rPr>
          <w:rFonts w:cs="Times New Roman"/>
        </w:rPr>
        <w:t>FDI in</w:t>
      </w:r>
      <w:r w:rsidR="00A5234A" w:rsidRPr="00C92385">
        <w:rPr>
          <w:rFonts w:cs="Times New Roman"/>
        </w:rPr>
        <w:t>to</w:t>
      </w:r>
      <w:r w:rsidRPr="00C92385">
        <w:rPr>
          <w:rFonts w:cs="Times New Roman"/>
        </w:rPr>
        <w:t xml:space="preserve"> developing econom</w:t>
      </w:r>
      <w:r w:rsidR="007572A4" w:rsidRPr="00C92385">
        <w:rPr>
          <w:rFonts w:cs="Times New Roman"/>
        </w:rPr>
        <w:t>ies</w:t>
      </w:r>
      <w:r w:rsidRPr="00C92385">
        <w:rPr>
          <w:rFonts w:cs="Times New Roman"/>
        </w:rPr>
        <w:t xml:space="preserve"> </w:t>
      </w:r>
      <w:r w:rsidR="00A5234A" w:rsidRPr="00C92385">
        <w:rPr>
          <w:rFonts w:cs="Times New Roman"/>
        </w:rPr>
        <w:t>in A</w:t>
      </w:r>
      <w:r w:rsidR="007572A4" w:rsidRPr="00C92385">
        <w:rPr>
          <w:rFonts w:cs="Times New Roman"/>
        </w:rPr>
        <w:t>frica</w:t>
      </w:r>
      <w:r w:rsidR="00A5234A" w:rsidRPr="00C92385">
        <w:rPr>
          <w:rFonts w:cs="Times New Roman"/>
        </w:rPr>
        <w:t xml:space="preserve"> </w:t>
      </w:r>
      <w:r w:rsidRPr="00C92385">
        <w:rPr>
          <w:rFonts w:cs="Times New Roman"/>
        </w:rPr>
        <w:t>with Nigeria telecommunication</w:t>
      </w:r>
      <w:r w:rsidR="00CF1F94" w:rsidRPr="00C92385">
        <w:rPr>
          <w:rFonts w:cs="Times New Roman"/>
        </w:rPr>
        <w:t>s</w:t>
      </w:r>
      <w:r w:rsidRPr="00C92385">
        <w:rPr>
          <w:rFonts w:cs="Times New Roman"/>
        </w:rPr>
        <w:t xml:space="preserve"> industry as the case study. </w:t>
      </w:r>
      <w:r w:rsidR="008E66A5" w:rsidRPr="00C92385">
        <w:rPr>
          <w:rFonts w:cs="Times New Roman"/>
        </w:rPr>
        <w:t>We</w:t>
      </w:r>
      <w:r w:rsidRPr="00C92385">
        <w:rPr>
          <w:rFonts w:cs="Times New Roman"/>
        </w:rPr>
        <w:t xml:space="preserve"> identif</w:t>
      </w:r>
      <w:r w:rsidR="008E66A5" w:rsidRPr="00C92385">
        <w:rPr>
          <w:rFonts w:cs="Times New Roman"/>
        </w:rPr>
        <w:t xml:space="preserve">ied </w:t>
      </w:r>
      <w:r w:rsidRPr="00C92385">
        <w:rPr>
          <w:rFonts w:cs="Times New Roman"/>
        </w:rPr>
        <w:t xml:space="preserve">the various components of political risk and </w:t>
      </w:r>
      <w:r w:rsidR="000C0D8E" w:rsidRPr="00C92385">
        <w:rPr>
          <w:rFonts w:cs="Times New Roman"/>
        </w:rPr>
        <w:t>explore</w:t>
      </w:r>
      <w:r w:rsidR="008E66A5" w:rsidRPr="00C92385">
        <w:rPr>
          <w:rFonts w:cs="Times New Roman"/>
        </w:rPr>
        <w:t>d</w:t>
      </w:r>
      <w:r w:rsidR="000C0D8E" w:rsidRPr="00C92385">
        <w:rPr>
          <w:rFonts w:cs="Times New Roman"/>
        </w:rPr>
        <w:t xml:space="preserve"> </w:t>
      </w:r>
      <w:r w:rsidRPr="00C92385">
        <w:rPr>
          <w:rFonts w:cs="Times New Roman"/>
        </w:rPr>
        <w:t xml:space="preserve">their </w:t>
      </w:r>
      <w:r w:rsidR="008E66A5" w:rsidRPr="00C92385">
        <w:rPr>
          <w:rFonts w:cs="Times New Roman"/>
        </w:rPr>
        <w:t xml:space="preserve">aggregate and </w:t>
      </w:r>
      <w:r w:rsidRPr="00C92385">
        <w:rPr>
          <w:rFonts w:cs="Times New Roman"/>
        </w:rPr>
        <w:t xml:space="preserve">individual impacts on the </w:t>
      </w:r>
      <w:r w:rsidR="00A4023C">
        <w:rPr>
          <w:rFonts w:cs="Times New Roman"/>
        </w:rPr>
        <w:t>in</w:t>
      </w:r>
      <w:r w:rsidRPr="00C92385">
        <w:rPr>
          <w:rFonts w:cs="Times New Roman"/>
        </w:rPr>
        <w:t>flow of FDI in</w:t>
      </w:r>
      <w:r w:rsidR="00A4023C">
        <w:rPr>
          <w:rFonts w:cs="Times New Roman"/>
        </w:rPr>
        <w:t xml:space="preserve">to </w:t>
      </w:r>
      <w:r w:rsidRPr="00C92385">
        <w:rPr>
          <w:rFonts w:cs="Times New Roman"/>
        </w:rPr>
        <w:t>Nigeria’s telecommunication</w:t>
      </w:r>
      <w:r w:rsidR="00CF1F94" w:rsidRPr="00C92385">
        <w:rPr>
          <w:rFonts w:cs="Times New Roman"/>
        </w:rPr>
        <w:t>s</w:t>
      </w:r>
      <w:r w:rsidRPr="00C92385">
        <w:rPr>
          <w:rFonts w:cs="Times New Roman"/>
        </w:rPr>
        <w:t xml:space="preserve"> industry be</w:t>
      </w:r>
      <w:r w:rsidR="00A5234A" w:rsidRPr="00C92385">
        <w:rPr>
          <w:rFonts w:cs="Times New Roman"/>
        </w:rPr>
        <w:t xml:space="preserve">tween 2002 and 2011. Our findings </w:t>
      </w:r>
      <w:r w:rsidR="00A5234A" w:rsidRPr="00C92385">
        <w:rPr>
          <w:rFonts w:cs="Times New Roman"/>
          <w:bCs/>
        </w:rPr>
        <w:t>show</w:t>
      </w:r>
      <w:r w:rsidR="00232524" w:rsidRPr="00C92385">
        <w:rPr>
          <w:rFonts w:cs="Times New Roman"/>
          <w:bCs/>
        </w:rPr>
        <w:t xml:space="preserve"> that</w:t>
      </w:r>
      <w:r w:rsidR="00B840CE">
        <w:rPr>
          <w:rFonts w:cs="Times New Roman"/>
          <w:bCs/>
        </w:rPr>
        <w:t xml:space="preserve">, in general, </w:t>
      </w:r>
      <w:r w:rsidR="00232524" w:rsidRPr="00C92385">
        <w:rPr>
          <w:rFonts w:cs="Times New Roman"/>
          <w:bCs/>
        </w:rPr>
        <w:t>reducing</w:t>
      </w:r>
      <w:r w:rsidRPr="00C92385">
        <w:rPr>
          <w:rFonts w:cs="Times New Roman"/>
          <w:bCs/>
        </w:rPr>
        <w:t xml:space="preserve"> </w:t>
      </w:r>
      <w:r w:rsidR="00A5234A" w:rsidRPr="00C92385">
        <w:rPr>
          <w:rFonts w:cs="Times New Roman"/>
          <w:bCs/>
        </w:rPr>
        <w:t xml:space="preserve">the </w:t>
      </w:r>
      <w:r w:rsidRPr="00C92385">
        <w:rPr>
          <w:rFonts w:cs="Times New Roman"/>
          <w:bCs/>
        </w:rPr>
        <w:t xml:space="preserve">level of political risk (independent variable) resulted in increased FDI net inflows </w:t>
      </w:r>
      <w:r w:rsidR="007572A4" w:rsidRPr="00C92385">
        <w:rPr>
          <w:rFonts w:cs="Times New Roman"/>
          <w:bCs/>
        </w:rPr>
        <w:t xml:space="preserve">(dependent variable) </w:t>
      </w:r>
      <w:r w:rsidRPr="00C92385">
        <w:rPr>
          <w:rFonts w:cs="Times New Roman"/>
          <w:bCs/>
        </w:rPr>
        <w:t>into the Nigerian telecommunication</w:t>
      </w:r>
      <w:r w:rsidR="00CF1F94" w:rsidRPr="00C92385">
        <w:rPr>
          <w:rFonts w:cs="Times New Roman"/>
          <w:bCs/>
        </w:rPr>
        <w:t>s</w:t>
      </w:r>
      <w:r w:rsidRPr="00C92385">
        <w:rPr>
          <w:rFonts w:cs="Times New Roman"/>
          <w:bCs/>
        </w:rPr>
        <w:t xml:space="preserve"> industry. </w:t>
      </w:r>
      <w:r w:rsidR="00A5234A" w:rsidRPr="00C92385">
        <w:rPr>
          <w:rFonts w:cs="Times New Roman"/>
          <w:bCs/>
        </w:rPr>
        <w:t xml:space="preserve">The study also observed that </w:t>
      </w:r>
      <w:r w:rsidRPr="00C92385">
        <w:rPr>
          <w:rFonts w:cs="Times New Roman"/>
          <w:bCs/>
        </w:rPr>
        <w:t>Nigeria’s political risk rating improved over the study period from 38.79</w:t>
      </w:r>
      <w:r w:rsidR="00A5234A" w:rsidRPr="00C92385">
        <w:rPr>
          <w:rFonts w:cs="Times New Roman"/>
          <w:bCs/>
        </w:rPr>
        <w:t xml:space="preserve"> per cent </w:t>
      </w:r>
      <w:r w:rsidRPr="00C92385">
        <w:rPr>
          <w:rFonts w:cs="Times New Roman"/>
          <w:bCs/>
        </w:rPr>
        <w:t>in 2002 to 46</w:t>
      </w:r>
      <w:r w:rsidR="00A5234A" w:rsidRPr="00C92385">
        <w:rPr>
          <w:rFonts w:cs="Times New Roman"/>
          <w:bCs/>
        </w:rPr>
        <w:t xml:space="preserve"> per cent </w:t>
      </w:r>
      <w:r w:rsidRPr="00C92385">
        <w:rPr>
          <w:rFonts w:cs="Times New Roman"/>
          <w:bCs/>
        </w:rPr>
        <w:t>in 2011</w:t>
      </w:r>
      <w:r w:rsidR="00A5234A" w:rsidRPr="00C92385">
        <w:rPr>
          <w:rFonts w:cs="Times New Roman"/>
          <w:bCs/>
        </w:rPr>
        <w:t xml:space="preserve"> </w:t>
      </w:r>
      <w:r w:rsidR="00A4023C">
        <w:rPr>
          <w:rFonts w:cs="Times New Roman"/>
          <w:bCs/>
        </w:rPr>
        <w:t xml:space="preserve">resulting in growth in net </w:t>
      </w:r>
      <w:r w:rsidRPr="00C92385">
        <w:rPr>
          <w:rFonts w:cs="Times New Roman"/>
          <w:bCs/>
        </w:rPr>
        <w:t>FDI</w:t>
      </w:r>
      <w:r w:rsidR="00494F36">
        <w:rPr>
          <w:rFonts w:cs="Times New Roman"/>
          <w:bCs/>
        </w:rPr>
        <w:t xml:space="preserve"> inflow</w:t>
      </w:r>
      <w:r w:rsidRPr="00C92385">
        <w:rPr>
          <w:rFonts w:cs="Times New Roman"/>
          <w:bCs/>
        </w:rPr>
        <w:t xml:space="preserve">. This implies that political risk had a </w:t>
      </w:r>
      <w:r w:rsidR="00AC50D8" w:rsidRPr="00C92385">
        <w:rPr>
          <w:rFonts w:cs="Times New Roman"/>
          <w:bCs/>
        </w:rPr>
        <w:t xml:space="preserve">significant </w:t>
      </w:r>
      <w:r w:rsidRPr="00C92385">
        <w:rPr>
          <w:rFonts w:cs="Times New Roman"/>
          <w:bCs/>
        </w:rPr>
        <w:t xml:space="preserve">impact on the flow of FDI into the industry. </w:t>
      </w:r>
      <w:r w:rsidR="00F96576" w:rsidRPr="00C92385">
        <w:rPr>
          <w:rFonts w:cs="Times New Roman"/>
          <w:bCs/>
        </w:rPr>
        <w:t>Although</w:t>
      </w:r>
      <w:r w:rsidRPr="00C92385">
        <w:rPr>
          <w:rFonts w:cs="Times New Roman"/>
          <w:bCs/>
        </w:rPr>
        <w:t xml:space="preserve"> Nigeria remained a </w:t>
      </w:r>
      <w:r w:rsidR="00494F36">
        <w:rPr>
          <w:rFonts w:cs="Times New Roman"/>
          <w:bCs/>
        </w:rPr>
        <w:t xml:space="preserve">country with a </w:t>
      </w:r>
      <w:r w:rsidRPr="00C92385">
        <w:rPr>
          <w:rFonts w:cs="Times New Roman"/>
          <w:bCs/>
        </w:rPr>
        <w:t xml:space="preserve">very high </w:t>
      </w:r>
      <w:r w:rsidR="00494F36">
        <w:rPr>
          <w:rFonts w:cs="Times New Roman"/>
          <w:bCs/>
        </w:rPr>
        <w:t xml:space="preserve">political </w:t>
      </w:r>
      <w:r w:rsidRPr="00C92385">
        <w:rPr>
          <w:rFonts w:cs="Times New Roman"/>
          <w:bCs/>
        </w:rPr>
        <w:t>risk</w:t>
      </w:r>
      <w:r w:rsidR="00A5234A" w:rsidRPr="00C92385">
        <w:rPr>
          <w:rFonts w:cs="Times New Roman"/>
          <w:bCs/>
        </w:rPr>
        <w:t xml:space="preserve"> rating </w:t>
      </w:r>
      <w:r w:rsidR="00494F36">
        <w:rPr>
          <w:rFonts w:cs="Times New Roman"/>
          <w:bCs/>
        </w:rPr>
        <w:t>(highest rating of 46%)</w:t>
      </w:r>
      <w:r w:rsidRPr="00C92385">
        <w:rPr>
          <w:rFonts w:cs="Times New Roman"/>
          <w:bCs/>
        </w:rPr>
        <w:t xml:space="preserve"> </w:t>
      </w:r>
      <w:r w:rsidR="00A4023C">
        <w:rPr>
          <w:rFonts w:cs="Times New Roman"/>
          <w:bCs/>
        </w:rPr>
        <w:t>over the period</w:t>
      </w:r>
      <w:r w:rsidR="00494F36">
        <w:rPr>
          <w:rFonts w:cs="Times New Roman"/>
          <w:bCs/>
        </w:rPr>
        <w:t>,</w:t>
      </w:r>
      <w:r w:rsidR="00A4023C">
        <w:rPr>
          <w:rFonts w:cs="Times New Roman"/>
          <w:bCs/>
        </w:rPr>
        <w:t xml:space="preserve"> </w:t>
      </w:r>
      <w:r w:rsidR="00494F36">
        <w:rPr>
          <w:rFonts w:cs="Times New Roman"/>
          <w:bCs/>
        </w:rPr>
        <w:t xml:space="preserve">the </w:t>
      </w:r>
      <w:r w:rsidRPr="00C92385">
        <w:rPr>
          <w:rFonts w:cs="Times New Roman"/>
          <w:bCs/>
        </w:rPr>
        <w:t>improvement</w:t>
      </w:r>
      <w:r w:rsidR="00647EE6">
        <w:rPr>
          <w:rFonts w:cs="Times New Roman"/>
          <w:bCs/>
        </w:rPr>
        <w:t>s</w:t>
      </w:r>
      <w:r w:rsidRPr="00C92385">
        <w:rPr>
          <w:rFonts w:cs="Times New Roman"/>
          <w:bCs/>
        </w:rPr>
        <w:t xml:space="preserve"> w</w:t>
      </w:r>
      <w:r w:rsidR="00494F36">
        <w:rPr>
          <w:rFonts w:cs="Times New Roman"/>
          <w:bCs/>
        </w:rPr>
        <w:t>ere</w:t>
      </w:r>
      <w:r w:rsidRPr="00C92385">
        <w:rPr>
          <w:rFonts w:cs="Times New Roman"/>
          <w:bCs/>
        </w:rPr>
        <w:t xml:space="preserve"> enough to attract huge </w:t>
      </w:r>
      <w:r w:rsidR="00A4023C">
        <w:rPr>
          <w:rFonts w:cs="Times New Roman"/>
          <w:bCs/>
        </w:rPr>
        <w:t xml:space="preserve">net </w:t>
      </w:r>
      <w:r w:rsidR="00494F36">
        <w:rPr>
          <w:rFonts w:cs="Times New Roman"/>
          <w:bCs/>
        </w:rPr>
        <w:t xml:space="preserve">telecommunications </w:t>
      </w:r>
      <w:r w:rsidRPr="00C92385">
        <w:rPr>
          <w:rFonts w:cs="Times New Roman"/>
          <w:bCs/>
        </w:rPr>
        <w:t xml:space="preserve">FDI inflows. </w:t>
      </w:r>
    </w:p>
    <w:p w:rsidR="006C2766" w:rsidRDefault="00A4023C" w:rsidP="0020763D">
      <w:pPr>
        <w:ind w:firstLine="720"/>
        <w:rPr>
          <w:rFonts w:cs="Times New Roman"/>
          <w:bCs/>
        </w:rPr>
      </w:pPr>
      <w:r>
        <w:rPr>
          <w:rFonts w:cs="Times New Roman"/>
          <w:bCs/>
        </w:rPr>
        <w:lastRenderedPageBreak/>
        <w:t>Our</w:t>
      </w:r>
      <w:r w:rsidR="00A5234A" w:rsidRPr="00C92385">
        <w:rPr>
          <w:rFonts w:cs="Times New Roman"/>
          <w:bCs/>
        </w:rPr>
        <w:t xml:space="preserve"> study also indicates that</w:t>
      </w:r>
      <w:r w:rsidR="00266346" w:rsidRPr="00C92385">
        <w:rPr>
          <w:rFonts w:cs="Times New Roman"/>
          <w:bCs/>
        </w:rPr>
        <w:t xml:space="preserve"> the various political risk components affect FDI in di</w:t>
      </w:r>
      <w:r>
        <w:rPr>
          <w:rFonts w:cs="Times New Roman"/>
          <w:bCs/>
        </w:rPr>
        <w:t xml:space="preserve">fferent ways. It was found that reducing the </w:t>
      </w:r>
      <w:r w:rsidR="007B7015">
        <w:rPr>
          <w:rFonts w:cs="Times New Roman"/>
          <w:bCs/>
        </w:rPr>
        <w:t>risk with respect to corruption, law and order, democratic accountability and investment profile were important in influencing FDI inflow</w:t>
      </w:r>
      <w:r w:rsidR="00913F74" w:rsidRPr="00C92385">
        <w:rPr>
          <w:rFonts w:cs="Times New Roman"/>
        </w:rPr>
        <w:t xml:space="preserve">. </w:t>
      </w:r>
      <w:r w:rsidR="007B7015">
        <w:rPr>
          <w:rFonts w:cs="Times New Roman"/>
        </w:rPr>
        <w:t>Our findings emphasise the importance of reducing corruption to enhance foreign investment. This means that SSA countries</w:t>
      </w:r>
      <w:r w:rsidR="00494F36">
        <w:rPr>
          <w:rFonts w:cs="Times New Roman"/>
        </w:rPr>
        <w:t>,</w:t>
      </w:r>
      <w:r w:rsidR="007B7015">
        <w:rPr>
          <w:rFonts w:cs="Times New Roman"/>
        </w:rPr>
        <w:t xml:space="preserve"> such as Nigeria</w:t>
      </w:r>
      <w:r w:rsidR="00494F36">
        <w:rPr>
          <w:rFonts w:cs="Times New Roman"/>
        </w:rPr>
        <w:t>,</w:t>
      </w:r>
      <w:r w:rsidR="007B7015">
        <w:rPr>
          <w:rFonts w:cs="Times New Roman"/>
        </w:rPr>
        <w:t xml:space="preserve"> need to appreciate the importance of tackling the canker of corruption to improve FDI inflow </w:t>
      </w:r>
      <w:r w:rsidR="00647EE6">
        <w:rPr>
          <w:rFonts w:cs="Times New Roman"/>
        </w:rPr>
        <w:t>which</w:t>
      </w:r>
      <w:r w:rsidR="007B7015">
        <w:rPr>
          <w:rFonts w:cs="Times New Roman"/>
        </w:rPr>
        <w:t xml:space="preserve"> is intrinsically linked to economic growth. </w:t>
      </w:r>
      <w:r w:rsidR="00266346" w:rsidRPr="00C92385">
        <w:rPr>
          <w:rFonts w:cs="Times New Roman"/>
          <w:bCs/>
        </w:rPr>
        <w:t xml:space="preserve">Considering </w:t>
      </w:r>
      <w:r w:rsidR="005E59D0" w:rsidRPr="00C92385">
        <w:rPr>
          <w:rFonts w:cs="Times New Roman"/>
          <w:bCs/>
        </w:rPr>
        <w:t xml:space="preserve">the </w:t>
      </w:r>
      <w:r w:rsidR="00775C91" w:rsidRPr="00C92385">
        <w:rPr>
          <w:rFonts w:cs="Times New Roman"/>
          <w:bCs/>
        </w:rPr>
        <w:t>important</w:t>
      </w:r>
      <w:r w:rsidR="005E59D0" w:rsidRPr="00C92385">
        <w:rPr>
          <w:rFonts w:cs="Times New Roman"/>
          <w:bCs/>
        </w:rPr>
        <w:t xml:space="preserve"> role FDI plays in the economic growth of developing nations (World Bank, 2013)</w:t>
      </w:r>
      <w:r w:rsidR="00AA67E5">
        <w:rPr>
          <w:rFonts w:cs="Times New Roman"/>
          <w:bCs/>
        </w:rPr>
        <w:t>,</w:t>
      </w:r>
      <w:r w:rsidR="005E59D0" w:rsidRPr="00C92385">
        <w:rPr>
          <w:rFonts w:cs="Times New Roman"/>
          <w:bCs/>
        </w:rPr>
        <w:t xml:space="preserve"> and the fact </w:t>
      </w:r>
      <w:r w:rsidR="00266346" w:rsidRPr="00C92385">
        <w:rPr>
          <w:rFonts w:cs="Times New Roman"/>
          <w:bCs/>
        </w:rPr>
        <w:t xml:space="preserve">that most economic determinants of FDI </w:t>
      </w:r>
      <w:r w:rsidR="00E00A68" w:rsidRPr="00C92385">
        <w:rPr>
          <w:rFonts w:cs="Times New Roman"/>
          <w:bCs/>
        </w:rPr>
        <w:t xml:space="preserve">such as </w:t>
      </w:r>
      <w:r w:rsidR="00266346" w:rsidRPr="00C92385">
        <w:rPr>
          <w:rFonts w:cs="Times New Roman"/>
          <w:bCs/>
        </w:rPr>
        <w:t>the availability of natural resources and large domestic market</w:t>
      </w:r>
      <w:r w:rsidR="007B7015">
        <w:rPr>
          <w:rFonts w:cs="Times New Roman"/>
          <w:bCs/>
        </w:rPr>
        <w:t>s</w:t>
      </w:r>
      <w:r w:rsidR="00266346" w:rsidRPr="00C92385">
        <w:rPr>
          <w:rFonts w:cs="Times New Roman"/>
          <w:bCs/>
        </w:rPr>
        <w:t xml:space="preserve"> are not within the control of</w:t>
      </w:r>
      <w:r w:rsidR="00F96576" w:rsidRPr="00C92385">
        <w:rPr>
          <w:rFonts w:cs="Times New Roman"/>
          <w:bCs/>
        </w:rPr>
        <w:t xml:space="preserve"> </w:t>
      </w:r>
      <w:r w:rsidR="00266346" w:rsidRPr="00C92385">
        <w:rPr>
          <w:rFonts w:cs="Times New Roman"/>
          <w:bCs/>
        </w:rPr>
        <w:t>government</w:t>
      </w:r>
      <w:r w:rsidR="00F96576" w:rsidRPr="00C92385">
        <w:rPr>
          <w:rFonts w:cs="Times New Roman"/>
          <w:bCs/>
        </w:rPr>
        <w:t>s</w:t>
      </w:r>
      <w:r w:rsidR="00266346" w:rsidRPr="00C92385">
        <w:rPr>
          <w:rFonts w:cs="Times New Roman"/>
          <w:bCs/>
        </w:rPr>
        <w:t xml:space="preserve"> (</w:t>
      </w:r>
      <w:proofErr w:type="spellStart"/>
      <w:r w:rsidR="00266346" w:rsidRPr="00C92385">
        <w:rPr>
          <w:rFonts w:cs="Times New Roman"/>
          <w:bCs/>
        </w:rPr>
        <w:t>Baek</w:t>
      </w:r>
      <w:proofErr w:type="spellEnd"/>
      <w:r w:rsidR="00266346" w:rsidRPr="00C92385">
        <w:rPr>
          <w:rFonts w:cs="Times New Roman"/>
          <w:bCs/>
        </w:rPr>
        <w:t xml:space="preserve"> and Qian</w:t>
      </w:r>
      <w:r w:rsidR="00177C53" w:rsidRPr="00C92385">
        <w:rPr>
          <w:rFonts w:cs="Times New Roman"/>
          <w:bCs/>
        </w:rPr>
        <w:t>,</w:t>
      </w:r>
      <w:r w:rsidR="00266346" w:rsidRPr="00C92385">
        <w:rPr>
          <w:rFonts w:cs="Times New Roman"/>
          <w:bCs/>
        </w:rPr>
        <w:t xml:space="preserve"> 2011)</w:t>
      </w:r>
      <w:r w:rsidR="005E59D0" w:rsidRPr="00C92385">
        <w:rPr>
          <w:rFonts w:cs="Times New Roman"/>
          <w:bCs/>
        </w:rPr>
        <w:t xml:space="preserve">, </w:t>
      </w:r>
      <w:r w:rsidR="00266346" w:rsidRPr="00C92385">
        <w:rPr>
          <w:rFonts w:cs="Times New Roman"/>
          <w:bCs/>
        </w:rPr>
        <w:t xml:space="preserve">this </w:t>
      </w:r>
      <w:r w:rsidR="00F478BB" w:rsidRPr="00C92385">
        <w:rPr>
          <w:rFonts w:cs="Times New Roman"/>
          <w:bCs/>
        </w:rPr>
        <w:t>paper</w:t>
      </w:r>
      <w:r w:rsidR="00266346" w:rsidRPr="00C92385">
        <w:rPr>
          <w:rFonts w:cs="Times New Roman"/>
          <w:bCs/>
        </w:rPr>
        <w:t xml:space="preserve"> recommen</w:t>
      </w:r>
      <w:r w:rsidR="00F478BB" w:rsidRPr="00C92385">
        <w:rPr>
          <w:rFonts w:cs="Times New Roman"/>
          <w:bCs/>
        </w:rPr>
        <w:t>ds</w:t>
      </w:r>
      <w:r w:rsidR="00266346" w:rsidRPr="00C92385">
        <w:rPr>
          <w:rFonts w:cs="Times New Roman"/>
          <w:bCs/>
        </w:rPr>
        <w:t xml:space="preserve"> that </w:t>
      </w:r>
      <w:r w:rsidR="00F478BB" w:rsidRPr="00C92385">
        <w:rPr>
          <w:rFonts w:cs="Times New Roman"/>
          <w:bCs/>
        </w:rPr>
        <w:t xml:space="preserve">for </w:t>
      </w:r>
      <w:r w:rsidR="00D14D65" w:rsidRPr="00C92385">
        <w:rPr>
          <w:rFonts w:cs="Times New Roman"/>
          <w:bCs/>
        </w:rPr>
        <w:t xml:space="preserve">developing countries </w:t>
      </w:r>
      <w:r w:rsidR="00F478BB" w:rsidRPr="00C92385">
        <w:rPr>
          <w:rFonts w:cs="Times New Roman"/>
          <w:bCs/>
        </w:rPr>
        <w:t>to be globally competitive for scar</w:t>
      </w:r>
      <w:r w:rsidR="00BF2F69" w:rsidRPr="00C92385">
        <w:rPr>
          <w:rFonts w:cs="Times New Roman"/>
          <w:bCs/>
        </w:rPr>
        <w:t>c</w:t>
      </w:r>
      <w:r w:rsidR="00F478BB" w:rsidRPr="00C92385">
        <w:rPr>
          <w:rFonts w:cs="Times New Roman"/>
          <w:bCs/>
        </w:rPr>
        <w:t>e FDI, the</w:t>
      </w:r>
      <w:r w:rsidR="00D14D65" w:rsidRPr="00C92385">
        <w:rPr>
          <w:rFonts w:cs="Times New Roman"/>
          <w:bCs/>
        </w:rPr>
        <w:t>ir</w:t>
      </w:r>
      <w:r w:rsidR="00F478BB" w:rsidRPr="00C92385">
        <w:rPr>
          <w:rFonts w:cs="Times New Roman"/>
          <w:bCs/>
        </w:rPr>
        <w:t xml:space="preserve"> </w:t>
      </w:r>
      <w:r w:rsidR="00FE0E75" w:rsidRPr="00C92385">
        <w:rPr>
          <w:rFonts w:cs="Times New Roman"/>
          <w:bCs/>
        </w:rPr>
        <w:t>government</w:t>
      </w:r>
      <w:r w:rsidR="00D14D65" w:rsidRPr="00C92385">
        <w:rPr>
          <w:rFonts w:cs="Times New Roman"/>
          <w:bCs/>
        </w:rPr>
        <w:t>s</w:t>
      </w:r>
      <w:r w:rsidR="00775C91" w:rsidRPr="00C92385">
        <w:rPr>
          <w:rFonts w:cs="Times New Roman"/>
          <w:bCs/>
        </w:rPr>
        <w:t xml:space="preserve"> should endeavour to </w:t>
      </w:r>
      <w:r w:rsidR="002B1EDB">
        <w:rPr>
          <w:rFonts w:cs="Times New Roman"/>
          <w:bCs/>
        </w:rPr>
        <w:t xml:space="preserve">promote </w:t>
      </w:r>
      <w:r w:rsidR="00E00A68" w:rsidRPr="00C92385">
        <w:rPr>
          <w:rFonts w:cs="Times New Roman"/>
          <w:bCs/>
        </w:rPr>
        <w:t xml:space="preserve">favourable </w:t>
      </w:r>
      <w:r w:rsidR="005E59D0" w:rsidRPr="00C92385">
        <w:rPr>
          <w:rFonts w:cs="Times New Roman"/>
          <w:bCs/>
        </w:rPr>
        <w:t>business environment</w:t>
      </w:r>
      <w:r w:rsidR="00D14D65" w:rsidRPr="00C92385">
        <w:rPr>
          <w:rFonts w:cs="Times New Roman"/>
          <w:bCs/>
        </w:rPr>
        <w:t>s</w:t>
      </w:r>
      <w:r w:rsidR="00775C91" w:rsidRPr="00C92385">
        <w:rPr>
          <w:rFonts w:cs="Times New Roman"/>
          <w:bCs/>
        </w:rPr>
        <w:t xml:space="preserve"> to attract MNEs.</w:t>
      </w:r>
      <w:r w:rsidR="00FE0E75" w:rsidRPr="00C92385">
        <w:rPr>
          <w:rFonts w:cs="Times New Roman"/>
          <w:bCs/>
        </w:rPr>
        <w:t xml:space="preserve"> </w:t>
      </w:r>
      <w:r w:rsidR="007B7015">
        <w:rPr>
          <w:rFonts w:cs="Times New Roman"/>
          <w:bCs/>
        </w:rPr>
        <w:t>Based on our findings</w:t>
      </w:r>
      <w:r w:rsidR="00494F36">
        <w:rPr>
          <w:rFonts w:cs="Times New Roman"/>
          <w:bCs/>
        </w:rPr>
        <w:t>,</w:t>
      </w:r>
      <w:r w:rsidR="007B7015">
        <w:rPr>
          <w:rFonts w:cs="Times New Roman"/>
          <w:bCs/>
        </w:rPr>
        <w:t xml:space="preserve"> </w:t>
      </w:r>
      <w:r w:rsidR="00E00A68" w:rsidRPr="00C92385">
        <w:rPr>
          <w:rFonts w:cs="Times New Roman"/>
          <w:bCs/>
        </w:rPr>
        <w:t xml:space="preserve">the pertinent issues that </w:t>
      </w:r>
      <w:r w:rsidR="00F96576" w:rsidRPr="00C92385">
        <w:rPr>
          <w:rFonts w:cs="Times New Roman"/>
          <w:bCs/>
        </w:rPr>
        <w:t>need</w:t>
      </w:r>
      <w:r w:rsidR="00E00A68" w:rsidRPr="00C92385">
        <w:rPr>
          <w:rFonts w:cs="Times New Roman"/>
          <w:bCs/>
        </w:rPr>
        <w:t xml:space="preserve"> immediate attention </w:t>
      </w:r>
      <w:r w:rsidR="007B7015">
        <w:rPr>
          <w:rFonts w:cs="Times New Roman"/>
          <w:bCs/>
        </w:rPr>
        <w:t xml:space="preserve">must encompass tackling corruption </w:t>
      </w:r>
      <w:r w:rsidR="002B1EDB">
        <w:rPr>
          <w:rFonts w:cs="Times New Roman"/>
          <w:bCs/>
        </w:rPr>
        <w:t>in unison with i</w:t>
      </w:r>
      <w:r w:rsidR="007B7015">
        <w:rPr>
          <w:rFonts w:cs="Times New Roman"/>
          <w:bCs/>
        </w:rPr>
        <w:t>mproving law and order, democratic accountability, and investment profile. With regards to corruption</w:t>
      </w:r>
      <w:r w:rsidR="00494F36">
        <w:rPr>
          <w:rFonts w:cs="Times New Roman"/>
          <w:bCs/>
        </w:rPr>
        <w:t>,</w:t>
      </w:r>
      <w:r w:rsidR="007B7015">
        <w:rPr>
          <w:rFonts w:cs="Times New Roman"/>
          <w:bCs/>
        </w:rPr>
        <w:t xml:space="preserve"> there is an urgent need for the provision of strong and independent anti-corruption institutions that can foster an improvement in transparency within both the public and private sectors. It is important that these processes </w:t>
      </w:r>
      <w:r w:rsidR="0020763D">
        <w:rPr>
          <w:rFonts w:cs="Times New Roman"/>
          <w:bCs/>
        </w:rPr>
        <w:t xml:space="preserve">can also ensure full independence and efficiency of the judiciary </w:t>
      </w:r>
      <w:r w:rsidR="002B1EDB">
        <w:rPr>
          <w:rFonts w:cs="Times New Roman"/>
          <w:bCs/>
        </w:rPr>
        <w:t xml:space="preserve">which will </w:t>
      </w:r>
      <w:r w:rsidR="0020763D">
        <w:rPr>
          <w:rFonts w:cs="Times New Roman"/>
          <w:bCs/>
        </w:rPr>
        <w:t xml:space="preserve">give </w:t>
      </w:r>
      <w:r w:rsidR="002B1EDB">
        <w:rPr>
          <w:rFonts w:cs="Times New Roman"/>
          <w:bCs/>
        </w:rPr>
        <w:t xml:space="preserve">added </w:t>
      </w:r>
      <w:r w:rsidR="0020763D">
        <w:rPr>
          <w:rFonts w:cs="Times New Roman"/>
          <w:bCs/>
        </w:rPr>
        <w:t xml:space="preserve">confidence to foreign investors </w:t>
      </w:r>
      <w:r w:rsidR="00494F36">
        <w:rPr>
          <w:rFonts w:cs="Times New Roman"/>
          <w:bCs/>
        </w:rPr>
        <w:t>that</w:t>
      </w:r>
      <w:r w:rsidR="0020763D">
        <w:rPr>
          <w:rFonts w:cs="Times New Roman"/>
          <w:bCs/>
        </w:rPr>
        <w:t xml:space="preserve"> redress</w:t>
      </w:r>
      <w:r w:rsidR="00494F36">
        <w:rPr>
          <w:rFonts w:cs="Times New Roman"/>
          <w:bCs/>
        </w:rPr>
        <w:t xml:space="preserve"> can be objectively sought</w:t>
      </w:r>
      <w:r w:rsidR="0020763D">
        <w:rPr>
          <w:rFonts w:cs="Times New Roman"/>
          <w:bCs/>
        </w:rPr>
        <w:t xml:space="preserve"> in the law courts. Particularly</w:t>
      </w:r>
      <w:r w:rsidR="00494F36">
        <w:rPr>
          <w:rFonts w:cs="Times New Roman"/>
          <w:bCs/>
        </w:rPr>
        <w:t>,</w:t>
      </w:r>
      <w:r w:rsidR="0020763D">
        <w:rPr>
          <w:rFonts w:cs="Times New Roman"/>
          <w:bCs/>
        </w:rPr>
        <w:t xml:space="preserve"> the PRS </w:t>
      </w:r>
      <w:r w:rsidR="00540ED9">
        <w:rPr>
          <w:rFonts w:cs="Times New Roman"/>
          <w:bCs/>
        </w:rPr>
        <w:t>G</w:t>
      </w:r>
      <w:r w:rsidR="0020763D">
        <w:rPr>
          <w:rFonts w:cs="Times New Roman"/>
          <w:bCs/>
        </w:rPr>
        <w:t>roup emphasise the need to control excessive patronage, nepotism, job reservation, exchange of favours, secret funding of political parties, and questionabl</w:t>
      </w:r>
      <w:r w:rsidR="00494F36">
        <w:rPr>
          <w:rFonts w:cs="Times New Roman"/>
          <w:bCs/>
        </w:rPr>
        <w:t>e</w:t>
      </w:r>
      <w:r w:rsidR="0020763D">
        <w:rPr>
          <w:rFonts w:cs="Times New Roman"/>
          <w:bCs/>
        </w:rPr>
        <w:t xml:space="preserve"> close ties between business and politics. These tendencies would not only contribute to potential instability but ha</w:t>
      </w:r>
      <w:r w:rsidR="005A7CC4">
        <w:rPr>
          <w:rFonts w:cs="Times New Roman"/>
          <w:bCs/>
        </w:rPr>
        <w:t>ve</w:t>
      </w:r>
      <w:r w:rsidR="0020763D">
        <w:rPr>
          <w:rFonts w:cs="Times New Roman"/>
          <w:bCs/>
        </w:rPr>
        <w:t xml:space="preserve"> the tendency to increase long-term perceived host country political risk</w:t>
      </w:r>
      <w:r w:rsidR="00494F36">
        <w:rPr>
          <w:rFonts w:cs="Times New Roman"/>
          <w:bCs/>
        </w:rPr>
        <w:t xml:space="preserve"> which is detrimental to FDI inflow</w:t>
      </w:r>
      <w:r w:rsidR="0020763D">
        <w:rPr>
          <w:rFonts w:cs="Times New Roman"/>
          <w:bCs/>
        </w:rPr>
        <w:t>.</w:t>
      </w:r>
    </w:p>
    <w:p w:rsidR="0020763D" w:rsidRDefault="00243254" w:rsidP="0020763D">
      <w:pPr>
        <w:ind w:firstLine="720"/>
        <w:rPr>
          <w:rFonts w:cs="Times New Roman"/>
          <w:bCs/>
        </w:rPr>
      </w:pPr>
      <w:r>
        <w:rPr>
          <w:rFonts w:cs="Times New Roman"/>
          <w:bCs/>
        </w:rPr>
        <w:t>Law and order, according to the PRS group, relates to the strength and impartiality of the legal system which must be supported by a general observance of the law.</w:t>
      </w:r>
      <w:r w:rsidR="000125A9">
        <w:rPr>
          <w:rFonts w:cs="Times New Roman"/>
          <w:bCs/>
        </w:rPr>
        <w:t xml:space="preserve"> Democratic accou</w:t>
      </w:r>
      <w:r w:rsidR="00494F36">
        <w:rPr>
          <w:rFonts w:cs="Times New Roman"/>
          <w:bCs/>
        </w:rPr>
        <w:t xml:space="preserve">ntability, </w:t>
      </w:r>
      <w:r w:rsidR="000125A9">
        <w:rPr>
          <w:rFonts w:cs="Times New Roman"/>
          <w:bCs/>
        </w:rPr>
        <w:t>related to how responsive governments are to their people</w:t>
      </w:r>
      <w:r w:rsidR="00494F36">
        <w:rPr>
          <w:rFonts w:cs="Times New Roman"/>
          <w:bCs/>
        </w:rPr>
        <w:t>,</w:t>
      </w:r>
      <w:r w:rsidR="000125A9">
        <w:rPr>
          <w:rFonts w:cs="Times New Roman"/>
          <w:bCs/>
        </w:rPr>
        <w:t xml:space="preserve"> is also </w:t>
      </w:r>
      <w:r w:rsidR="005A7CC4">
        <w:rPr>
          <w:rFonts w:cs="Times New Roman"/>
          <w:bCs/>
        </w:rPr>
        <w:t>crucial</w:t>
      </w:r>
      <w:r w:rsidR="000125A9">
        <w:rPr>
          <w:rFonts w:cs="Times New Roman"/>
          <w:bCs/>
        </w:rPr>
        <w:t>. SSA governments need to be accountable to their electorates to enhance their attractiveness to foreign investors. With</w:t>
      </w:r>
      <w:r w:rsidR="008C557F">
        <w:rPr>
          <w:rFonts w:cs="Times New Roman"/>
          <w:bCs/>
        </w:rPr>
        <w:t xml:space="preserve"> investment profile, in line with the subcomponents, it is important that governments in SSA need to avoid payment </w:t>
      </w:r>
      <w:proofErr w:type="gramStart"/>
      <w:r w:rsidR="008C557F">
        <w:rPr>
          <w:rFonts w:cs="Times New Roman"/>
          <w:bCs/>
        </w:rPr>
        <w:t>delays,</w:t>
      </w:r>
      <w:proofErr w:type="gramEnd"/>
      <w:r w:rsidR="008C557F">
        <w:rPr>
          <w:rFonts w:cs="Times New Roman"/>
          <w:bCs/>
        </w:rPr>
        <w:t xml:space="preserve"> improve contract viability, eliminate expropriation tendencies</w:t>
      </w:r>
      <w:r w:rsidR="005A7CC4">
        <w:rPr>
          <w:rFonts w:cs="Times New Roman"/>
          <w:bCs/>
        </w:rPr>
        <w:t>,</w:t>
      </w:r>
      <w:r w:rsidR="008C557F">
        <w:rPr>
          <w:rFonts w:cs="Times New Roman"/>
          <w:bCs/>
        </w:rPr>
        <w:t xml:space="preserve"> as well as allow profit repatriation</w:t>
      </w:r>
      <w:r w:rsidR="005A7CC4">
        <w:rPr>
          <w:rFonts w:cs="Times New Roman"/>
          <w:bCs/>
        </w:rPr>
        <w:t>,</w:t>
      </w:r>
      <w:r w:rsidR="008C557F">
        <w:rPr>
          <w:rFonts w:cs="Times New Roman"/>
          <w:bCs/>
        </w:rPr>
        <w:t xml:space="preserve"> to reduce general political risk and therefore improve FDI attraction. Arguably</w:t>
      </w:r>
      <w:r w:rsidR="00494F36">
        <w:rPr>
          <w:rFonts w:cs="Times New Roman"/>
          <w:bCs/>
        </w:rPr>
        <w:t>,</w:t>
      </w:r>
      <w:r w:rsidR="008C557F">
        <w:rPr>
          <w:rFonts w:cs="Times New Roman"/>
          <w:bCs/>
        </w:rPr>
        <w:t xml:space="preserve"> good governance and institutional arrangements are </w:t>
      </w:r>
      <w:proofErr w:type="gramStart"/>
      <w:r w:rsidR="008C557F">
        <w:rPr>
          <w:rFonts w:cs="Times New Roman"/>
          <w:bCs/>
        </w:rPr>
        <w:lastRenderedPageBreak/>
        <w:t>key</w:t>
      </w:r>
      <w:proofErr w:type="gramEnd"/>
      <w:r w:rsidR="008C557F">
        <w:rPr>
          <w:rFonts w:cs="Times New Roman"/>
          <w:bCs/>
        </w:rPr>
        <w:t xml:space="preserve"> to enhancing FDI inflow to Africa</w:t>
      </w:r>
      <w:r w:rsidR="005A7CC4">
        <w:rPr>
          <w:rFonts w:cs="Times New Roman"/>
          <w:bCs/>
        </w:rPr>
        <w:t>;</w:t>
      </w:r>
      <w:r w:rsidR="008C557F">
        <w:rPr>
          <w:rFonts w:cs="Times New Roman"/>
          <w:bCs/>
        </w:rPr>
        <w:t xml:space="preserve"> there is </w:t>
      </w:r>
      <w:r w:rsidR="005A7CC4">
        <w:rPr>
          <w:rFonts w:cs="Times New Roman"/>
          <w:bCs/>
        </w:rPr>
        <w:t>an absolute</w:t>
      </w:r>
      <w:r w:rsidR="008C557F">
        <w:rPr>
          <w:rFonts w:cs="Times New Roman"/>
          <w:bCs/>
        </w:rPr>
        <w:t xml:space="preserve"> need to continuously work towards improving these.</w:t>
      </w:r>
    </w:p>
    <w:p w:rsidR="008C557F" w:rsidRDefault="008C557F" w:rsidP="0020763D">
      <w:pPr>
        <w:ind w:firstLine="720"/>
        <w:rPr>
          <w:rFonts w:cs="Times New Roman"/>
          <w:bCs/>
        </w:rPr>
      </w:pPr>
      <w:r>
        <w:rPr>
          <w:rFonts w:cs="Times New Roman"/>
          <w:bCs/>
        </w:rPr>
        <w:t xml:space="preserve">Our contribution highlights that, irrespective of the political risk rating, consistent improvement in the rating serves as a good signal to foreign investor location decision making. We also contribute further to the international business literature by ranking the potential risk components to stress their respective importance in explaining FDI inflow. Out study, for example, </w:t>
      </w:r>
      <w:r w:rsidR="00907382">
        <w:rPr>
          <w:rFonts w:cs="Times New Roman"/>
          <w:bCs/>
        </w:rPr>
        <w:t xml:space="preserve">shows that corruption explains over 65% of FDI inflow into the Nigerian telecommunications industry. This study is also exemplified </w:t>
      </w:r>
      <w:r>
        <w:rPr>
          <w:rFonts w:cs="Times New Roman"/>
          <w:bCs/>
        </w:rPr>
        <w:t xml:space="preserve">by </w:t>
      </w:r>
      <w:r w:rsidR="00907382">
        <w:rPr>
          <w:rFonts w:cs="Times New Roman"/>
          <w:bCs/>
        </w:rPr>
        <w:t xml:space="preserve">attempting to suggest that the impact of political risk components vary from sector to sector as some components react to FDI inflow in different ways. </w:t>
      </w:r>
    </w:p>
    <w:p w:rsidR="00907382" w:rsidRPr="00C92385" w:rsidRDefault="00907382" w:rsidP="0020763D">
      <w:pPr>
        <w:ind w:firstLine="720"/>
      </w:pPr>
      <w:r>
        <w:rPr>
          <w:rFonts w:cs="Times New Roman"/>
          <w:bCs/>
        </w:rPr>
        <w:t>Despite our contributions, this study acknowledges the limitations of our approach. Firstly, our study focused on only one sector</w:t>
      </w:r>
      <w:r w:rsidR="005A7CC4">
        <w:rPr>
          <w:rFonts w:cs="Times New Roman"/>
          <w:bCs/>
        </w:rPr>
        <w:t>,</w:t>
      </w:r>
      <w:r>
        <w:rPr>
          <w:rFonts w:cs="Times New Roman"/>
          <w:bCs/>
        </w:rPr>
        <w:t xml:space="preserve"> in one country</w:t>
      </w:r>
      <w:r w:rsidR="005A7CC4">
        <w:rPr>
          <w:rFonts w:cs="Times New Roman"/>
          <w:bCs/>
        </w:rPr>
        <w:t>,</w:t>
      </w:r>
      <w:r>
        <w:rPr>
          <w:rFonts w:cs="Times New Roman"/>
          <w:bCs/>
        </w:rPr>
        <w:t xml:space="preserve"> in SSA. Further studies covering a wider range of sectors and countries in SSA</w:t>
      </w:r>
      <w:r w:rsidR="005A7CC4">
        <w:rPr>
          <w:rFonts w:cs="Times New Roman"/>
          <w:bCs/>
        </w:rPr>
        <w:t>,</w:t>
      </w:r>
      <w:r>
        <w:rPr>
          <w:rFonts w:cs="Times New Roman"/>
          <w:bCs/>
        </w:rPr>
        <w:t xml:space="preserve"> collectively or comparatively</w:t>
      </w:r>
      <w:r w:rsidR="005A7CC4">
        <w:rPr>
          <w:rFonts w:cs="Times New Roman"/>
          <w:bCs/>
        </w:rPr>
        <w:t>,</w:t>
      </w:r>
      <w:r>
        <w:rPr>
          <w:rFonts w:cs="Times New Roman"/>
          <w:bCs/>
        </w:rPr>
        <w:t xml:space="preserve"> could enrich our understanding of the influence of political risk components on FDI inflow. Secondly, a study that is able to explore subcomponents would be needed to explain their influences on FDI inflow</w:t>
      </w:r>
      <w:r w:rsidR="00794E45">
        <w:rPr>
          <w:rFonts w:cs="Times New Roman"/>
          <w:bCs/>
        </w:rPr>
        <w:t xml:space="preserve"> independently</w:t>
      </w:r>
      <w:r>
        <w:rPr>
          <w:rFonts w:cs="Times New Roman"/>
          <w:bCs/>
        </w:rPr>
        <w:t xml:space="preserve">. Such an approach could help to explain </w:t>
      </w:r>
      <w:r w:rsidR="005A7CC4">
        <w:rPr>
          <w:rFonts w:cs="Times New Roman"/>
          <w:bCs/>
        </w:rPr>
        <w:t xml:space="preserve">each </w:t>
      </w:r>
      <w:r>
        <w:rPr>
          <w:rFonts w:cs="Times New Roman"/>
          <w:bCs/>
        </w:rPr>
        <w:t>subcomponent</w:t>
      </w:r>
      <w:r w:rsidR="005A7CC4">
        <w:rPr>
          <w:rFonts w:cs="Times New Roman"/>
          <w:bCs/>
        </w:rPr>
        <w:t>’s</w:t>
      </w:r>
      <w:r>
        <w:rPr>
          <w:rFonts w:cs="Times New Roman"/>
          <w:bCs/>
        </w:rPr>
        <w:t xml:space="preserve"> contr</w:t>
      </w:r>
      <w:r w:rsidR="00F677A5">
        <w:rPr>
          <w:rFonts w:cs="Times New Roman"/>
          <w:bCs/>
        </w:rPr>
        <w:t>ibut</w:t>
      </w:r>
      <w:r w:rsidR="00794E45">
        <w:rPr>
          <w:rFonts w:cs="Times New Roman"/>
          <w:bCs/>
        </w:rPr>
        <w:t xml:space="preserve">ion </w:t>
      </w:r>
      <w:r w:rsidR="005A7CC4">
        <w:rPr>
          <w:rFonts w:cs="Times New Roman"/>
          <w:bCs/>
        </w:rPr>
        <w:t>to FDI</w:t>
      </w:r>
      <w:r w:rsidR="00F677A5">
        <w:rPr>
          <w:rFonts w:cs="Times New Roman"/>
          <w:bCs/>
        </w:rPr>
        <w:t xml:space="preserve"> inflow</w:t>
      </w:r>
      <w:r w:rsidR="005A7CC4">
        <w:rPr>
          <w:rFonts w:cs="Times New Roman"/>
          <w:bCs/>
        </w:rPr>
        <w:t>, positively or negatively,</w:t>
      </w:r>
      <w:r w:rsidR="00F677A5">
        <w:rPr>
          <w:rFonts w:cs="Times New Roman"/>
          <w:bCs/>
        </w:rPr>
        <w:t xml:space="preserve"> more clearly than the main component. </w:t>
      </w:r>
    </w:p>
    <w:p w:rsidR="005A7CC4" w:rsidRDefault="005A7CC4" w:rsidP="00B108CE">
      <w:pPr>
        <w:rPr>
          <w:rFonts w:cs="Times New Roman"/>
          <w:b/>
          <w:sz w:val="28"/>
          <w:szCs w:val="28"/>
        </w:rPr>
      </w:pPr>
    </w:p>
    <w:p w:rsidR="00402BE1" w:rsidRDefault="00402BE1" w:rsidP="00B108CE">
      <w:pPr>
        <w:rPr>
          <w:rFonts w:cs="Times New Roman"/>
          <w:b/>
        </w:rPr>
      </w:pPr>
    </w:p>
    <w:p w:rsidR="00E85634" w:rsidRPr="00402BE1" w:rsidRDefault="00E85634" w:rsidP="00B108CE">
      <w:pPr>
        <w:rPr>
          <w:rFonts w:cs="Times New Roman"/>
          <w:b/>
        </w:rPr>
      </w:pPr>
      <w:r w:rsidRPr="00402BE1">
        <w:rPr>
          <w:rFonts w:cs="Times New Roman"/>
          <w:b/>
        </w:rPr>
        <w:t>R</w:t>
      </w:r>
      <w:r w:rsidR="00F740F9" w:rsidRPr="00402BE1">
        <w:rPr>
          <w:rFonts w:cs="Times New Roman"/>
          <w:b/>
        </w:rPr>
        <w:t>eferences</w:t>
      </w:r>
    </w:p>
    <w:p w:rsidR="00BC71F7" w:rsidRPr="009B3714" w:rsidRDefault="00BC71F7" w:rsidP="00B108CE">
      <w:pPr>
        <w:rPr>
          <w:rFonts w:cs="Times New Roman"/>
          <w:sz w:val="22"/>
          <w:szCs w:val="22"/>
        </w:rPr>
      </w:pPr>
      <w:proofErr w:type="spellStart"/>
      <w:proofErr w:type="gramStart"/>
      <w:r w:rsidRPr="009B3714">
        <w:rPr>
          <w:rFonts w:cs="Times New Roman"/>
          <w:sz w:val="22"/>
          <w:szCs w:val="22"/>
        </w:rPr>
        <w:t>Aguiar</w:t>
      </w:r>
      <w:proofErr w:type="spellEnd"/>
      <w:r w:rsidRPr="009B3714">
        <w:rPr>
          <w:rFonts w:cs="Times New Roman"/>
          <w:sz w:val="22"/>
          <w:szCs w:val="22"/>
        </w:rPr>
        <w:t xml:space="preserve"> S., </w:t>
      </w:r>
      <w:proofErr w:type="spellStart"/>
      <w:r w:rsidRPr="009B3714">
        <w:rPr>
          <w:rFonts w:cs="Times New Roman"/>
          <w:sz w:val="22"/>
          <w:szCs w:val="22"/>
        </w:rPr>
        <w:t>Auira-Conraria</w:t>
      </w:r>
      <w:proofErr w:type="spellEnd"/>
      <w:r w:rsidRPr="009B3714">
        <w:rPr>
          <w:rFonts w:cs="Times New Roman"/>
          <w:sz w:val="22"/>
          <w:szCs w:val="22"/>
        </w:rPr>
        <w:t xml:space="preserve">, L., </w:t>
      </w:r>
      <w:proofErr w:type="spellStart"/>
      <w:r w:rsidRPr="009B3714">
        <w:rPr>
          <w:rFonts w:cs="Times New Roman"/>
          <w:sz w:val="22"/>
          <w:szCs w:val="22"/>
        </w:rPr>
        <w:t>Gulamhussen</w:t>
      </w:r>
      <w:proofErr w:type="spellEnd"/>
      <w:r w:rsidRPr="009B3714">
        <w:rPr>
          <w:rFonts w:cs="Times New Roman"/>
          <w:sz w:val="22"/>
          <w:szCs w:val="22"/>
        </w:rPr>
        <w:t xml:space="preserve">, M. </w:t>
      </w:r>
      <w:r w:rsidR="00F740F9" w:rsidRPr="009B3714">
        <w:rPr>
          <w:rFonts w:cs="Times New Roman"/>
          <w:sz w:val="22"/>
          <w:szCs w:val="22"/>
        </w:rPr>
        <w:t>&amp;</w:t>
      </w:r>
      <w:r w:rsidRPr="009B3714">
        <w:rPr>
          <w:rFonts w:cs="Times New Roman"/>
          <w:sz w:val="22"/>
          <w:szCs w:val="22"/>
        </w:rPr>
        <w:t xml:space="preserve"> </w:t>
      </w:r>
      <w:proofErr w:type="spellStart"/>
      <w:r w:rsidRPr="009B3714">
        <w:rPr>
          <w:rFonts w:cs="Times New Roman"/>
          <w:sz w:val="22"/>
          <w:szCs w:val="22"/>
        </w:rPr>
        <w:t>Magalhaes</w:t>
      </w:r>
      <w:proofErr w:type="spellEnd"/>
      <w:r w:rsidRPr="009B3714">
        <w:rPr>
          <w:rFonts w:cs="Times New Roman"/>
          <w:sz w:val="22"/>
          <w:szCs w:val="22"/>
        </w:rPr>
        <w:t>, P. (2012).</w:t>
      </w:r>
      <w:proofErr w:type="gramEnd"/>
      <w:r w:rsidRPr="009B3714">
        <w:rPr>
          <w:rFonts w:cs="Times New Roman"/>
          <w:sz w:val="22"/>
          <w:szCs w:val="22"/>
        </w:rPr>
        <w:t xml:space="preserve"> Foreign </w:t>
      </w:r>
      <w:r w:rsidR="00F740F9" w:rsidRPr="009B3714">
        <w:rPr>
          <w:rFonts w:cs="Times New Roman"/>
          <w:sz w:val="22"/>
          <w:szCs w:val="22"/>
        </w:rPr>
        <w:t>d</w:t>
      </w:r>
      <w:r w:rsidRPr="009B3714">
        <w:rPr>
          <w:rFonts w:cs="Times New Roman"/>
          <w:sz w:val="22"/>
          <w:szCs w:val="22"/>
        </w:rPr>
        <w:t xml:space="preserve">irect </w:t>
      </w:r>
      <w:r w:rsidR="00F740F9" w:rsidRPr="009B3714">
        <w:rPr>
          <w:rFonts w:cs="Times New Roman"/>
          <w:sz w:val="22"/>
          <w:szCs w:val="22"/>
        </w:rPr>
        <w:t>i</w:t>
      </w:r>
      <w:r w:rsidRPr="009B3714">
        <w:rPr>
          <w:rFonts w:cs="Times New Roman"/>
          <w:sz w:val="22"/>
          <w:szCs w:val="22"/>
        </w:rPr>
        <w:t xml:space="preserve">nvestment and </w:t>
      </w:r>
      <w:r w:rsidR="00F740F9" w:rsidRPr="009B3714">
        <w:rPr>
          <w:rFonts w:cs="Times New Roman"/>
          <w:sz w:val="22"/>
          <w:szCs w:val="22"/>
        </w:rPr>
        <w:t>h</w:t>
      </w:r>
      <w:r w:rsidRPr="009B3714">
        <w:rPr>
          <w:rFonts w:cs="Times New Roman"/>
          <w:sz w:val="22"/>
          <w:szCs w:val="22"/>
        </w:rPr>
        <w:t>ome-</w:t>
      </w:r>
      <w:r w:rsidR="00F740F9" w:rsidRPr="009B3714">
        <w:rPr>
          <w:rFonts w:cs="Times New Roman"/>
          <w:sz w:val="22"/>
          <w:szCs w:val="22"/>
        </w:rPr>
        <w:t>c</w:t>
      </w:r>
      <w:r w:rsidRPr="009B3714">
        <w:rPr>
          <w:rFonts w:cs="Times New Roman"/>
          <w:sz w:val="22"/>
          <w:szCs w:val="22"/>
        </w:rPr>
        <w:t xml:space="preserve">ountry </w:t>
      </w:r>
      <w:r w:rsidR="00F740F9" w:rsidRPr="009B3714">
        <w:rPr>
          <w:rFonts w:cs="Times New Roman"/>
          <w:sz w:val="22"/>
          <w:szCs w:val="22"/>
        </w:rPr>
        <w:t>p</w:t>
      </w:r>
      <w:r w:rsidRPr="009B3714">
        <w:rPr>
          <w:rFonts w:cs="Times New Roman"/>
          <w:sz w:val="22"/>
          <w:szCs w:val="22"/>
        </w:rPr>
        <w:t xml:space="preserve">olitical </w:t>
      </w:r>
      <w:r w:rsidR="00F740F9" w:rsidRPr="009B3714">
        <w:rPr>
          <w:rFonts w:cs="Times New Roman"/>
          <w:sz w:val="22"/>
          <w:szCs w:val="22"/>
        </w:rPr>
        <w:t>r</w:t>
      </w:r>
      <w:r w:rsidRPr="009B3714">
        <w:rPr>
          <w:rFonts w:cs="Times New Roman"/>
          <w:sz w:val="22"/>
          <w:szCs w:val="22"/>
        </w:rPr>
        <w:t xml:space="preserve">isk: The </w:t>
      </w:r>
      <w:r w:rsidR="00F740F9" w:rsidRPr="009B3714">
        <w:rPr>
          <w:rFonts w:cs="Times New Roman"/>
          <w:sz w:val="22"/>
          <w:szCs w:val="22"/>
        </w:rPr>
        <w:t>c</w:t>
      </w:r>
      <w:r w:rsidRPr="009B3714">
        <w:rPr>
          <w:rFonts w:cs="Times New Roman"/>
          <w:sz w:val="22"/>
          <w:szCs w:val="22"/>
        </w:rPr>
        <w:t>ase of Brazil. Latin American Research Review</w:t>
      </w:r>
      <w:r w:rsidR="00F740F9" w:rsidRPr="009B3714">
        <w:rPr>
          <w:rFonts w:cs="Times New Roman"/>
          <w:sz w:val="22"/>
          <w:szCs w:val="22"/>
        </w:rPr>
        <w:t>,</w:t>
      </w:r>
      <w:r w:rsidRPr="009B3714">
        <w:rPr>
          <w:rFonts w:cs="Times New Roman"/>
          <w:sz w:val="22"/>
          <w:szCs w:val="22"/>
        </w:rPr>
        <w:t xml:space="preserve"> </w:t>
      </w:r>
      <w:r w:rsidRPr="009B3714">
        <w:rPr>
          <w:rStyle w:val="medium-font"/>
          <w:rFonts w:cs="Times New Roman"/>
          <w:sz w:val="22"/>
          <w:szCs w:val="22"/>
        </w:rPr>
        <w:t>47 (2), 144-165.</w:t>
      </w:r>
      <w:r w:rsidRPr="009B3714">
        <w:rPr>
          <w:rFonts w:cs="Times New Roman"/>
          <w:sz w:val="22"/>
          <w:szCs w:val="22"/>
        </w:rPr>
        <w:t xml:space="preserve"> </w:t>
      </w:r>
    </w:p>
    <w:p w:rsidR="00E54B07" w:rsidRPr="009B3714" w:rsidRDefault="00E54B07" w:rsidP="00B108CE">
      <w:pPr>
        <w:rPr>
          <w:rFonts w:cs="Times New Roman"/>
          <w:sz w:val="22"/>
          <w:szCs w:val="22"/>
        </w:rPr>
      </w:pPr>
    </w:p>
    <w:p w:rsidR="00B90A94" w:rsidRPr="009B3714" w:rsidRDefault="00B90A94" w:rsidP="00C1767D">
      <w:pPr>
        <w:rPr>
          <w:rFonts w:cs="Times New Roman"/>
          <w:sz w:val="22"/>
          <w:szCs w:val="22"/>
        </w:rPr>
      </w:pPr>
      <w:proofErr w:type="spellStart"/>
      <w:proofErr w:type="gramStart"/>
      <w:r w:rsidRPr="009B3714">
        <w:rPr>
          <w:rFonts w:cs="Times New Roman"/>
          <w:sz w:val="22"/>
          <w:szCs w:val="22"/>
        </w:rPr>
        <w:t>Alon</w:t>
      </w:r>
      <w:proofErr w:type="spellEnd"/>
      <w:r w:rsidRPr="009B3714">
        <w:rPr>
          <w:rFonts w:cs="Times New Roman"/>
          <w:sz w:val="22"/>
          <w:szCs w:val="22"/>
        </w:rPr>
        <w:t xml:space="preserve">, L., </w:t>
      </w:r>
      <w:proofErr w:type="spellStart"/>
      <w:r w:rsidRPr="009B3714">
        <w:rPr>
          <w:rFonts w:cs="Times New Roman"/>
          <w:sz w:val="22"/>
          <w:szCs w:val="22"/>
        </w:rPr>
        <w:t>Gurumoorthy</w:t>
      </w:r>
      <w:proofErr w:type="spellEnd"/>
      <w:r w:rsidRPr="009B3714">
        <w:rPr>
          <w:rFonts w:cs="Times New Roman"/>
          <w:sz w:val="22"/>
          <w:szCs w:val="22"/>
        </w:rPr>
        <w:t>, R., Mitchell, M.C., and Steen, T. (200</w:t>
      </w:r>
      <w:r w:rsidR="00C1767D">
        <w:rPr>
          <w:rFonts w:cs="Times New Roman"/>
          <w:sz w:val="22"/>
          <w:szCs w:val="22"/>
        </w:rPr>
        <w:t>6</w:t>
      </w:r>
      <w:r w:rsidRPr="009B3714">
        <w:rPr>
          <w:rFonts w:cs="Times New Roman"/>
          <w:sz w:val="22"/>
          <w:szCs w:val="22"/>
        </w:rPr>
        <w:t>).</w:t>
      </w:r>
      <w:proofErr w:type="gramEnd"/>
      <w:r w:rsidRPr="009B3714">
        <w:rPr>
          <w:rFonts w:cs="Times New Roman"/>
          <w:sz w:val="22"/>
          <w:szCs w:val="22"/>
        </w:rPr>
        <w:t xml:space="preserve"> Managing </w:t>
      </w:r>
      <w:proofErr w:type="spellStart"/>
      <w:r w:rsidRPr="009B3714">
        <w:rPr>
          <w:rFonts w:cs="Times New Roman"/>
          <w:sz w:val="22"/>
          <w:szCs w:val="22"/>
        </w:rPr>
        <w:t>micropolitical</w:t>
      </w:r>
      <w:proofErr w:type="spellEnd"/>
      <w:r w:rsidRPr="009B3714">
        <w:rPr>
          <w:rFonts w:cs="Times New Roman"/>
          <w:sz w:val="22"/>
          <w:szCs w:val="22"/>
        </w:rPr>
        <w:t xml:space="preserve"> risk: A cross-sector examination. </w:t>
      </w:r>
      <w:r w:rsidRPr="009B3714">
        <w:rPr>
          <w:rFonts w:cs="Times New Roman"/>
          <w:sz w:val="22"/>
          <w:szCs w:val="22"/>
          <w:lang w:val="en-US"/>
        </w:rPr>
        <w:t>Thunderbird International Business Review,</w:t>
      </w:r>
      <w:r w:rsidRPr="009B3714">
        <w:rPr>
          <w:rFonts w:cs="Times New Roman"/>
          <w:sz w:val="22"/>
          <w:szCs w:val="22"/>
        </w:rPr>
        <w:t xml:space="preserve"> 48(5), 623-642. </w:t>
      </w:r>
    </w:p>
    <w:p w:rsidR="00B90A94" w:rsidRPr="009B3714" w:rsidRDefault="00B90A94" w:rsidP="00B108CE">
      <w:pPr>
        <w:rPr>
          <w:rFonts w:cs="Times New Roman"/>
          <w:sz w:val="22"/>
          <w:szCs w:val="22"/>
        </w:rPr>
      </w:pPr>
    </w:p>
    <w:p w:rsidR="00D22EEE" w:rsidRPr="009B3714" w:rsidRDefault="00D22EEE" w:rsidP="00B108CE">
      <w:pPr>
        <w:rPr>
          <w:rFonts w:cs="Times New Roman"/>
          <w:sz w:val="22"/>
          <w:szCs w:val="22"/>
        </w:rPr>
      </w:pPr>
      <w:proofErr w:type="spellStart"/>
      <w:proofErr w:type="gramStart"/>
      <w:r w:rsidRPr="009B3714">
        <w:rPr>
          <w:rFonts w:cs="Times New Roman"/>
          <w:sz w:val="22"/>
          <w:szCs w:val="22"/>
        </w:rPr>
        <w:t>Amal</w:t>
      </w:r>
      <w:proofErr w:type="spellEnd"/>
      <w:r w:rsidRPr="009B3714">
        <w:rPr>
          <w:rFonts w:cs="Times New Roman"/>
          <w:sz w:val="22"/>
          <w:szCs w:val="22"/>
        </w:rPr>
        <w:t xml:space="preserve">, M., </w:t>
      </w:r>
      <w:proofErr w:type="spellStart"/>
      <w:r w:rsidRPr="009B3714">
        <w:rPr>
          <w:rFonts w:cs="Times New Roman"/>
          <w:sz w:val="22"/>
          <w:szCs w:val="22"/>
        </w:rPr>
        <w:t>Tomio</w:t>
      </w:r>
      <w:proofErr w:type="spellEnd"/>
      <w:r w:rsidRPr="009B3714">
        <w:rPr>
          <w:rFonts w:cs="Times New Roman"/>
          <w:sz w:val="22"/>
          <w:szCs w:val="22"/>
        </w:rPr>
        <w:t xml:space="preserve">, B. </w:t>
      </w:r>
      <w:r w:rsidR="00F740F9" w:rsidRPr="009B3714">
        <w:rPr>
          <w:rFonts w:cs="Times New Roman"/>
          <w:sz w:val="22"/>
          <w:szCs w:val="22"/>
        </w:rPr>
        <w:t>&amp;</w:t>
      </w:r>
      <w:r w:rsidRPr="009B3714">
        <w:rPr>
          <w:rFonts w:cs="Times New Roman"/>
          <w:sz w:val="22"/>
          <w:szCs w:val="22"/>
        </w:rPr>
        <w:t xml:space="preserve"> </w:t>
      </w:r>
      <w:proofErr w:type="spellStart"/>
      <w:r w:rsidRPr="009B3714">
        <w:rPr>
          <w:rFonts w:cs="Times New Roman"/>
          <w:sz w:val="22"/>
          <w:szCs w:val="22"/>
        </w:rPr>
        <w:t>Raboch</w:t>
      </w:r>
      <w:proofErr w:type="spellEnd"/>
      <w:r w:rsidRPr="009B3714">
        <w:rPr>
          <w:rFonts w:cs="Times New Roman"/>
          <w:sz w:val="22"/>
          <w:szCs w:val="22"/>
        </w:rPr>
        <w:t>, H. (2010).</w:t>
      </w:r>
      <w:proofErr w:type="gramEnd"/>
      <w:r w:rsidRPr="009B3714">
        <w:rPr>
          <w:rFonts w:cs="Times New Roman"/>
          <w:sz w:val="22"/>
          <w:szCs w:val="22"/>
        </w:rPr>
        <w:t xml:space="preserve"> </w:t>
      </w:r>
      <w:proofErr w:type="gramStart"/>
      <w:r w:rsidRPr="009B3714">
        <w:rPr>
          <w:rFonts w:cs="Times New Roman"/>
          <w:sz w:val="22"/>
          <w:szCs w:val="22"/>
        </w:rPr>
        <w:t xml:space="preserve">Determinants of </w:t>
      </w:r>
      <w:r w:rsidR="00F740F9" w:rsidRPr="009B3714">
        <w:rPr>
          <w:rFonts w:cs="Times New Roman"/>
          <w:sz w:val="22"/>
          <w:szCs w:val="22"/>
        </w:rPr>
        <w:t>f</w:t>
      </w:r>
      <w:r w:rsidRPr="009B3714">
        <w:rPr>
          <w:rFonts w:cs="Times New Roman"/>
          <w:sz w:val="22"/>
          <w:szCs w:val="22"/>
        </w:rPr>
        <w:t xml:space="preserve">oreign </w:t>
      </w:r>
      <w:r w:rsidR="00F740F9" w:rsidRPr="009B3714">
        <w:rPr>
          <w:rFonts w:cs="Times New Roman"/>
          <w:sz w:val="22"/>
          <w:szCs w:val="22"/>
        </w:rPr>
        <w:t>d</w:t>
      </w:r>
      <w:r w:rsidRPr="009B3714">
        <w:rPr>
          <w:rFonts w:cs="Times New Roman"/>
          <w:sz w:val="22"/>
          <w:szCs w:val="22"/>
        </w:rPr>
        <w:t xml:space="preserve">irect </w:t>
      </w:r>
      <w:r w:rsidR="00F740F9" w:rsidRPr="009B3714">
        <w:rPr>
          <w:rFonts w:cs="Times New Roman"/>
          <w:sz w:val="22"/>
          <w:szCs w:val="22"/>
        </w:rPr>
        <w:t>i</w:t>
      </w:r>
      <w:r w:rsidRPr="009B3714">
        <w:rPr>
          <w:rFonts w:cs="Times New Roman"/>
          <w:sz w:val="22"/>
          <w:szCs w:val="22"/>
        </w:rPr>
        <w:t>nvestment in Latin America.</w:t>
      </w:r>
      <w:proofErr w:type="gramEnd"/>
      <w:r w:rsidRPr="009B3714">
        <w:rPr>
          <w:rFonts w:cs="Times New Roman"/>
          <w:sz w:val="22"/>
          <w:szCs w:val="22"/>
        </w:rPr>
        <w:t xml:space="preserve"> </w:t>
      </w:r>
      <w:r w:rsidRPr="009B3714">
        <w:rPr>
          <w:rFonts w:cs="Times New Roman"/>
          <w:iCs/>
          <w:sz w:val="22"/>
          <w:szCs w:val="22"/>
        </w:rPr>
        <w:t xml:space="preserve">Journal </w:t>
      </w:r>
      <w:proofErr w:type="gramStart"/>
      <w:r w:rsidRPr="009B3714">
        <w:rPr>
          <w:rFonts w:cs="Times New Roman"/>
          <w:iCs/>
          <w:sz w:val="22"/>
          <w:szCs w:val="22"/>
        </w:rPr>
        <w:t>of  Globalization</w:t>
      </w:r>
      <w:proofErr w:type="gramEnd"/>
      <w:r w:rsidR="00F740F9" w:rsidRPr="009B3714">
        <w:rPr>
          <w:rFonts w:cs="Times New Roman"/>
          <w:iCs/>
          <w:sz w:val="22"/>
          <w:szCs w:val="22"/>
        </w:rPr>
        <w:t>.</w:t>
      </w:r>
      <w:r w:rsidRPr="009B3714">
        <w:rPr>
          <w:rFonts w:cs="Times New Roman"/>
          <w:iCs/>
          <w:sz w:val="22"/>
          <w:szCs w:val="22"/>
        </w:rPr>
        <w:t xml:space="preserve"> Competitiveness and Governability</w:t>
      </w:r>
      <w:r w:rsidR="00F740F9" w:rsidRPr="009B3714">
        <w:rPr>
          <w:rFonts w:cs="Times New Roman"/>
          <w:iCs/>
          <w:sz w:val="22"/>
          <w:szCs w:val="22"/>
        </w:rPr>
        <w:t>,</w:t>
      </w:r>
      <w:r w:rsidR="00F740F9" w:rsidRPr="009B3714">
        <w:rPr>
          <w:rFonts w:cs="Times New Roman"/>
          <w:i/>
          <w:iCs/>
          <w:sz w:val="22"/>
          <w:szCs w:val="22"/>
        </w:rPr>
        <w:t xml:space="preserve"> </w:t>
      </w:r>
      <w:r w:rsidR="00F740F9" w:rsidRPr="009B3714">
        <w:rPr>
          <w:rFonts w:cs="Times New Roman"/>
          <w:sz w:val="22"/>
          <w:szCs w:val="22"/>
        </w:rPr>
        <w:t>4</w:t>
      </w:r>
      <w:r w:rsidR="00E806DB" w:rsidRPr="009B3714">
        <w:rPr>
          <w:rFonts w:cs="Times New Roman"/>
          <w:sz w:val="22"/>
          <w:szCs w:val="22"/>
        </w:rPr>
        <w:t>(</w:t>
      </w:r>
      <w:r w:rsidRPr="009B3714">
        <w:rPr>
          <w:rFonts w:cs="Times New Roman"/>
          <w:sz w:val="22"/>
          <w:szCs w:val="22"/>
        </w:rPr>
        <w:t>3</w:t>
      </w:r>
      <w:r w:rsidR="00F740F9" w:rsidRPr="009B3714">
        <w:rPr>
          <w:rFonts w:cs="Times New Roman"/>
          <w:sz w:val="22"/>
          <w:szCs w:val="22"/>
        </w:rPr>
        <w:t>), 116-133.</w:t>
      </w:r>
    </w:p>
    <w:p w:rsidR="00D22EEE" w:rsidRPr="009B3714" w:rsidRDefault="00D22EEE" w:rsidP="00B108CE">
      <w:pPr>
        <w:pStyle w:val="NoSpacing"/>
        <w:spacing w:line="360" w:lineRule="auto"/>
        <w:rPr>
          <w:rFonts w:ascii="Times New Roman" w:hAnsi="Times New Roman" w:cs="Times New Roman"/>
        </w:rPr>
      </w:pPr>
    </w:p>
    <w:p w:rsidR="00E85634" w:rsidRPr="009B3714" w:rsidRDefault="00E85634" w:rsidP="00B108CE">
      <w:pPr>
        <w:rPr>
          <w:rFonts w:cs="Times New Roman"/>
          <w:sz w:val="22"/>
          <w:szCs w:val="22"/>
        </w:rPr>
      </w:pPr>
      <w:proofErr w:type="spellStart"/>
      <w:r w:rsidRPr="009B3714">
        <w:rPr>
          <w:rFonts w:cs="Times New Roman"/>
          <w:sz w:val="22"/>
          <w:szCs w:val="22"/>
        </w:rPr>
        <w:t>Asiedu</w:t>
      </w:r>
      <w:proofErr w:type="spellEnd"/>
      <w:r w:rsidRPr="009B3714">
        <w:rPr>
          <w:rFonts w:cs="Times New Roman"/>
          <w:sz w:val="22"/>
          <w:szCs w:val="22"/>
        </w:rPr>
        <w:t xml:space="preserve">, E. (2002). On the </w:t>
      </w:r>
      <w:r w:rsidR="007840FC" w:rsidRPr="009B3714">
        <w:rPr>
          <w:rFonts w:cs="Times New Roman"/>
          <w:sz w:val="22"/>
          <w:szCs w:val="22"/>
        </w:rPr>
        <w:t>d</w:t>
      </w:r>
      <w:r w:rsidRPr="009B3714">
        <w:rPr>
          <w:rFonts w:cs="Times New Roman"/>
          <w:sz w:val="22"/>
          <w:szCs w:val="22"/>
        </w:rPr>
        <w:t xml:space="preserve">eterminants of </w:t>
      </w:r>
      <w:r w:rsidR="007840FC" w:rsidRPr="009B3714">
        <w:rPr>
          <w:rFonts w:cs="Times New Roman"/>
          <w:sz w:val="22"/>
          <w:szCs w:val="22"/>
        </w:rPr>
        <w:t>f</w:t>
      </w:r>
      <w:r w:rsidRPr="009B3714">
        <w:rPr>
          <w:rFonts w:cs="Times New Roman"/>
          <w:sz w:val="22"/>
          <w:szCs w:val="22"/>
        </w:rPr>
        <w:t xml:space="preserve">oreign </w:t>
      </w:r>
      <w:r w:rsidR="007840FC" w:rsidRPr="009B3714">
        <w:rPr>
          <w:rFonts w:cs="Times New Roman"/>
          <w:sz w:val="22"/>
          <w:szCs w:val="22"/>
        </w:rPr>
        <w:t>d</w:t>
      </w:r>
      <w:r w:rsidRPr="009B3714">
        <w:rPr>
          <w:rFonts w:cs="Times New Roman"/>
          <w:sz w:val="22"/>
          <w:szCs w:val="22"/>
        </w:rPr>
        <w:t xml:space="preserve">irect </w:t>
      </w:r>
      <w:r w:rsidR="007840FC" w:rsidRPr="009B3714">
        <w:rPr>
          <w:rFonts w:cs="Times New Roman"/>
          <w:sz w:val="22"/>
          <w:szCs w:val="22"/>
        </w:rPr>
        <w:t>i</w:t>
      </w:r>
      <w:r w:rsidRPr="009B3714">
        <w:rPr>
          <w:rFonts w:cs="Times New Roman"/>
          <w:sz w:val="22"/>
          <w:szCs w:val="22"/>
        </w:rPr>
        <w:t xml:space="preserve">nvestment to </w:t>
      </w:r>
      <w:r w:rsidR="007840FC" w:rsidRPr="009B3714">
        <w:rPr>
          <w:rFonts w:cs="Times New Roman"/>
          <w:sz w:val="22"/>
          <w:szCs w:val="22"/>
        </w:rPr>
        <w:t>d</w:t>
      </w:r>
      <w:r w:rsidRPr="009B3714">
        <w:rPr>
          <w:rFonts w:cs="Times New Roman"/>
          <w:sz w:val="22"/>
          <w:szCs w:val="22"/>
        </w:rPr>
        <w:t xml:space="preserve">eveloping </w:t>
      </w:r>
      <w:r w:rsidR="007840FC" w:rsidRPr="009B3714">
        <w:rPr>
          <w:rFonts w:cs="Times New Roman"/>
          <w:sz w:val="22"/>
          <w:szCs w:val="22"/>
        </w:rPr>
        <w:t>c</w:t>
      </w:r>
      <w:r w:rsidRPr="009B3714">
        <w:rPr>
          <w:rFonts w:cs="Times New Roman"/>
          <w:sz w:val="22"/>
          <w:szCs w:val="22"/>
        </w:rPr>
        <w:t xml:space="preserve">ountries: Is Africa </w:t>
      </w:r>
      <w:r w:rsidR="007840FC" w:rsidRPr="009B3714">
        <w:rPr>
          <w:rFonts w:cs="Times New Roman"/>
          <w:sz w:val="22"/>
          <w:szCs w:val="22"/>
        </w:rPr>
        <w:t>d</w:t>
      </w:r>
      <w:r w:rsidRPr="009B3714">
        <w:rPr>
          <w:rFonts w:cs="Times New Roman"/>
          <w:sz w:val="22"/>
          <w:szCs w:val="22"/>
        </w:rPr>
        <w:t xml:space="preserve">ifferent? </w:t>
      </w:r>
      <w:r w:rsidR="00341750" w:rsidRPr="009B3714">
        <w:rPr>
          <w:rFonts w:cs="Times New Roman"/>
          <w:sz w:val="22"/>
          <w:szCs w:val="22"/>
        </w:rPr>
        <w:t>World Developmen</w:t>
      </w:r>
      <w:r w:rsidR="007840FC" w:rsidRPr="009B3714">
        <w:rPr>
          <w:rFonts w:cs="Times New Roman"/>
          <w:sz w:val="22"/>
          <w:szCs w:val="22"/>
        </w:rPr>
        <w:t>t,</w:t>
      </w:r>
      <w:r w:rsidRPr="009B3714">
        <w:rPr>
          <w:rFonts w:cs="Times New Roman"/>
          <w:sz w:val="22"/>
          <w:szCs w:val="22"/>
        </w:rPr>
        <w:t xml:space="preserve"> 30(1)</w:t>
      </w:r>
      <w:r w:rsidR="00E806DB" w:rsidRPr="009B3714">
        <w:rPr>
          <w:rFonts w:cs="Times New Roman"/>
          <w:sz w:val="22"/>
          <w:szCs w:val="22"/>
        </w:rPr>
        <w:t xml:space="preserve">, </w:t>
      </w:r>
      <w:r w:rsidRPr="009B3714">
        <w:rPr>
          <w:rFonts w:cs="Times New Roman"/>
          <w:sz w:val="22"/>
          <w:szCs w:val="22"/>
        </w:rPr>
        <w:t xml:space="preserve">107-119. </w:t>
      </w:r>
    </w:p>
    <w:p w:rsidR="00E54B07" w:rsidRPr="009B3714" w:rsidRDefault="00E54B07" w:rsidP="00B108CE">
      <w:pPr>
        <w:rPr>
          <w:rFonts w:cs="Times New Roman"/>
          <w:sz w:val="22"/>
          <w:szCs w:val="22"/>
        </w:rPr>
      </w:pPr>
    </w:p>
    <w:p w:rsidR="00E85634" w:rsidRPr="009B3714" w:rsidRDefault="00E85634" w:rsidP="00B108CE">
      <w:pPr>
        <w:rPr>
          <w:rFonts w:cs="Times New Roman"/>
          <w:sz w:val="22"/>
          <w:szCs w:val="22"/>
        </w:rPr>
      </w:pPr>
      <w:proofErr w:type="spellStart"/>
      <w:r w:rsidRPr="009B3714">
        <w:rPr>
          <w:rFonts w:cs="Times New Roman"/>
          <w:sz w:val="22"/>
          <w:szCs w:val="22"/>
        </w:rPr>
        <w:lastRenderedPageBreak/>
        <w:t>Asiedu</w:t>
      </w:r>
      <w:proofErr w:type="spellEnd"/>
      <w:r w:rsidRPr="009B3714">
        <w:rPr>
          <w:rFonts w:cs="Times New Roman"/>
          <w:sz w:val="22"/>
          <w:szCs w:val="22"/>
        </w:rPr>
        <w:t>, E. (2006). Foreign direct investment in Africa: The role of natural resources, market size, government policy, institutions &amp; political instability. The World Economy</w:t>
      </w:r>
      <w:r w:rsidR="007840FC" w:rsidRPr="009B3714">
        <w:rPr>
          <w:rFonts w:cs="Times New Roman"/>
          <w:sz w:val="22"/>
          <w:szCs w:val="22"/>
        </w:rPr>
        <w:t>,</w:t>
      </w:r>
      <w:r w:rsidRPr="009B3714">
        <w:rPr>
          <w:rFonts w:cs="Times New Roman"/>
          <w:sz w:val="22"/>
          <w:szCs w:val="22"/>
        </w:rPr>
        <w:t xml:space="preserve"> 29(1), 63–67. </w:t>
      </w:r>
    </w:p>
    <w:p w:rsidR="00E54B07" w:rsidRPr="009B3714" w:rsidRDefault="00E54B07" w:rsidP="00B108CE">
      <w:pPr>
        <w:rPr>
          <w:rFonts w:cs="Times New Roman"/>
          <w:sz w:val="22"/>
          <w:szCs w:val="22"/>
        </w:rPr>
      </w:pPr>
    </w:p>
    <w:p w:rsidR="00E54B07" w:rsidRPr="009B3714" w:rsidRDefault="006A212A" w:rsidP="00B108CE">
      <w:pPr>
        <w:rPr>
          <w:rFonts w:cs="Times New Roman"/>
          <w:sz w:val="22"/>
          <w:szCs w:val="22"/>
        </w:rPr>
      </w:pPr>
      <w:proofErr w:type="spellStart"/>
      <w:proofErr w:type="gramStart"/>
      <w:r w:rsidRPr="009B3714">
        <w:rPr>
          <w:rFonts w:cs="Times New Roman"/>
          <w:sz w:val="22"/>
          <w:szCs w:val="22"/>
        </w:rPr>
        <w:t>Asiedu</w:t>
      </w:r>
      <w:proofErr w:type="spellEnd"/>
      <w:r w:rsidRPr="009B3714">
        <w:rPr>
          <w:rFonts w:cs="Times New Roman"/>
          <w:sz w:val="22"/>
          <w:szCs w:val="22"/>
        </w:rPr>
        <w:t xml:space="preserve">, E. </w:t>
      </w:r>
      <w:r w:rsidR="007840FC" w:rsidRPr="009B3714">
        <w:rPr>
          <w:rFonts w:cs="Times New Roman"/>
          <w:sz w:val="22"/>
          <w:szCs w:val="22"/>
        </w:rPr>
        <w:t>&amp;</w:t>
      </w:r>
      <w:r w:rsidRPr="009B3714">
        <w:rPr>
          <w:rFonts w:cs="Times New Roman"/>
          <w:sz w:val="22"/>
          <w:szCs w:val="22"/>
        </w:rPr>
        <w:t xml:space="preserve"> Lien, D. (2011).</w:t>
      </w:r>
      <w:proofErr w:type="gramEnd"/>
      <w:r w:rsidRPr="009B3714">
        <w:rPr>
          <w:rFonts w:cs="Times New Roman"/>
          <w:sz w:val="22"/>
          <w:szCs w:val="22"/>
        </w:rPr>
        <w:t xml:space="preserve"> </w:t>
      </w:r>
      <w:proofErr w:type="gramStart"/>
      <w:r w:rsidRPr="009B3714">
        <w:rPr>
          <w:rFonts w:cs="Times New Roman"/>
          <w:sz w:val="22"/>
          <w:szCs w:val="22"/>
        </w:rPr>
        <w:t xml:space="preserve">Democracy, </w:t>
      </w:r>
      <w:r w:rsidR="007840FC" w:rsidRPr="009B3714">
        <w:rPr>
          <w:rFonts w:cs="Times New Roman"/>
          <w:sz w:val="22"/>
          <w:szCs w:val="22"/>
        </w:rPr>
        <w:t>f</w:t>
      </w:r>
      <w:r w:rsidRPr="009B3714">
        <w:rPr>
          <w:rFonts w:cs="Times New Roman"/>
          <w:sz w:val="22"/>
          <w:szCs w:val="22"/>
        </w:rPr>
        <w:t xml:space="preserve">oreign </w:t>
      </w:r>
      <w:r w:rsidR="007840FC" w:rsidRPr="009B3714">
        <w:rPr>
          <w:rFonts w:cs="Times New Roman"/>
          <w:sz w:val="22"/>
          <w:szCs w:val="22"/>
        </w:rPr>
        <w:t>d</w:t>
      </w:r>
      <w:r w:rsidRPr="009B3714">
        <w:rPr>
          <w:rFonts w:cs="Times New Roman"/>
          <w:sz w:val="22"/>
          <w:szCs w:val="22"/>
        </w:rPr>
        <w:t xml:space="preserve">irect </w:t>
      </w:r>
      <w:r w:rsidR="007840FC" w:rsidRPr="009B3714">
        <w:rPr>
          <w:rFonts w:cs="Times New Roman"/>
          <w:sz w:val="22"/>
          <w:szCs w:val="22"/>
        </w:rPr>
        <w:t>i</w:t>
      </w:r>
      <w:r w:rsidRPr="009B3714">
        <w:rPr>
          <w:rFonts w:cs="Times New Roman"/>
          <w:sz w:val="22"/>
          <w:szCs w:val="22"/>
        </w:rPr>
        <w:t xml:space="preserve">nvestment and </w:t>
      </w:r>
      <w:r w:rsidR="007840FC" w:rsidRPr="009B3714">
        <w:rPr>
          <w:rFonts w:cs="Times New Roman"/>
          <w:sz w:val="22"/>
          <w:szCs w:val="22"/>
        </w:rPr>
        <w:t>n</w:t>
      </w:r>
      <w:r w:rsidRPr="009B3714">
        <w:rPr>
          <w:rFonts w:cs="Times New Roman"/>
          <w:sz w:val="22"/>
          <w:szCs w:val="22"/>
        </w:rPr>
        <w:t xml:space="preserve">atural </w:t>
      </w:r>
      <w:r w:rsidR="007840FC" w:rsidRPr="009B3714">
        <w:rPr>
          <w:rFonts w:cs="Times New Roman"/>
          <w:sz w:val="22"/>
          <w:szCs w:val="22"/>
        </w:rPr>
        <w:t>r</w:t>
      </w:r>
      <w:r w:rsidRPr="009B3714">
        <w:rPr>
          <w:rFonts w:cs="Times New Roman"/>
          <w:sz w:val="22"/>
          <w:szCs w:val="22"/>
        </w:rPr>
        <w:t>esources.</w:t>
      </w:r>
      <w:proofErr w:type="gramEnd"/>
      <w:r w:rsidRPr="009B3714">
        <w:rPr>
          <w:rFonts w:cs="Times New Roman"/>
          <w:sz w:val="22"/>
          <w:szCs w:val="22"/>
        </w:rPr>
        <w:t xml:space="preserve"> Jo</w:t>
      </w:r>
      <w:r w:rsidR="007840FC" w:rsidRPr="009B3714">
        <w:rPr>
          <w:rFonts w:cs="Times New Roman"/>
          <w:sz w:val="22"/>
          <w:szCs w:val="22"/>
        </w:rPr>
        <w:t xml:space="preserve">urnal of International </w:t>
      </w:r>
      <w:r w:rsidR="004D5612" w:rsidRPr="009B3714">
        <w:rPr>
          <w:rFonts w:cs="Times New Roman"/>
          <w:sz w:val="22"/>
          <w:szCs w:val="22"/>
        </w:rPr>
        <w:t>Economies</w:t>
      </w:r>
      <w:r w:rsidR="007840FC" w:rsidRPr="009B3714">
        <w:rPr>
          <w:rFonts w:cs="Times New Roman"/>
          <w:sz w:val="22"/>
          <w:szCs w:val="22"/>
        </w:rPr>
        <w:t>,</w:t>
      </w:r>
      <w:r w:rsidRPr="009B3714">
        <w:rPr>
          <w:rFonts w:cs="Times New Roman"/>
          <w:sz w:val="22"/>
          <w:szCs w:val="22"/>
        </w:rPr>
        <w:t xml:space="preserve"> 84</w:t>
      </w:r>
      <w:r w:rsidR="00677403" w:rsidRPr="009B3714">
        <w:rPr>
          <w:rFonts w:cs="Times New Roman"/>
          <w:sz w:val="22"/>
          <w:szCs w:val="22"/>
        </w:rPr>
        <w:t xml:space="preserve">, </w:t>
      </w:r>
      <w:r w:rsidRPr="009B3714">
        <w:rPr>
          <w:rFonts w:cs="Times New Roman"/>
          <w:sz w:val="22"/>
          <w:szCs w:val="22"/>
        </w:rPr>
        <w:t>99-111.</w:t>
      </w:r>
    </w:p>
    <w:p w:rsidR="006A212A" w:rsidRPr="009B3714" w:rsidRDefault="006A212A" w:rsidP="00B108CE">
      <w:pPr>
        <w:rPr>
          <w:rFonts w:cs="Times New Roman"/>
          <w:sz w:val="22"/>
          <w:szCs w:val="22"/>
        </w:rPr>
      </w:pPr>
      <w:r w:rsidRPr="009B3714">
        <w:rPr>
          <w:rFonts w:cs="Times New Roman"/>
          <w:sz w:val="22"/>
          <w:szCs w:val="22"/>
        </w:rPr>
        <w:t xml:space="preserve">  </w:t>
      </w:r>
    </w:p>
    <w:p w:rsidR="00F92138" w:rsidRPr="009B3714" w:rsidRDefault="00F92138" w:rsidP="00B108CE">
      <w:pPr>
        <w:rPr>
          <w:rFonts w:cs="Times New Roman"/>
          <w:sz w:val="22"/>
          <w:szCs w:val="22"/>
          <w:lang w:val="en-US"/>
        </w:rPr>
      </w:pPr>
      <w:proofErr w:type="spellStart"/>
      <w:proofErr w:type="gramStart"/>
      <w:r w:rsidRPr="009B3714">
        <w:rPr>
          <w:rFonts w:cs="Times New Roman"/>
          <w:sz w:val="22"/>
          <w:szCs w:val="22"/>
        </w:rPr>
        <w:t>Baek</w:t>
      </w:r>
      <w:proofErr w:type="spellEnd"/>
      <w:r w:rsidR="00B64563" w:rsidRPr="009B3714">
        <w:rPr>
          <w:rFonts w:cs="Times New Roman"/>
          <w:sz w:val="22"/>
          <w:szCs w:val="22"/>
        </w:rPr>
        <w:t xml:space="preserve">, K. </w:t>
      </w:r>
      <w:r w:rsidR="007840FC" w:rsidRPr="009B3714">
        <w:rPr>
          <w:rFonts w:cs="Times New Roman"/>
          <w:sz w:val="22"/>
          <w:szCs w:val="22"/>
        </w:rPr>
        <w:t>&amp;</w:t>
      </w:r>
      <w:r w:rsidR="00B64563" w:rsidRPr="009B3714">
        <w:rPr>
          <w:rFonts w:cs="Times New Roman"/>
          <w:sz w:val="22"/>
          <w:szCs w:val="22"/>
        </w:rPr>
        <w:t xml:space="preserve"> Q</w:t>
      </w:r>
      <w:r w:rsidRPr="009B3714">
        <w:rPr>
          <w:rFonts w:cs="Times New Roman"/>
          <w:sz w:val="22"/>
          <w:szCs w:val="22"/>
        </w:rPr>
        <w:t>ian, X. (2011).</w:t>
      </w:r>
      <w:proofErr w:type="gramEnd"/>
      <w:r w:rsidRPr="009B3714">
        <w:rPr>
          <w:rFonts w:cs="Times New Roman"/>
          <w:sz w:val="22"/>
          <w:szCs w:val="22"/>
        </w:rPr>
        <w:t xml:space="preserve"> </w:t>
      </w:r>
      <w:proofErr w:type="gramStart"/>
      <w:r w:rsidRPr="009B3714">
        <w:rPr>
          <w:rFonts w:cs="Times New Roman"/>
          <w:bCs/>
          <w:sz w:val="22"/>
          <w:szCs w:val="22"/>
          <w:lang w:val="en-US"/>
        </w:rPr>
        <w:t xml:space="preserve">An </w:t>
      </w:r>
      <w:r w:rsidR="007840FC" w:rsidRPr="009B3714">
        <w:rPr>
          <w:rFonts w:cs="Times New Roman"/>
          <w:bCs/>
          <w:sz w:val="22"/>
          <w:szCs w:val="22"/>
          <w:lang w:val="en-US"/>
        </w:rPr>
        <w:t>a</w:t>
      </w:r>
      <w:r w:rsidRPr="009B3714">
        <w:rPr>
          <w:rFonts w:cs="Times New Roman"/>
          <w:bCs/>
          <w:sz w:val="22"/>
          <w:szCs w:val="22"/>
          <w:lang w:val="en-US"/>
        </w:rPr>
        <w:t xml:space="preserve">nalysis on </w:t>
      </w:r>
      <w:r w:rsidR="007840FC" w:rsidRPr="009B3714">
        <w:rPr>
          <w:rFonts w:cs="Times New Roman"/>
          <w:bCs/>
          <w:sz w:val="22"/>
          <w:szCs w:val="22"/>
          <w:lang w:val="en-US"/>
        </w:rPr>
        <w:t>p</w:t>
      </w:r>
      <w:r w:rsidRPr="009B3714">
        <w:rPr>
          <w:rFonts w:cs="Times New Roman"/>
          <w:bCs/>
          <w:sz w:val="22"/>
          <w:szCs w:val="22"/>
          <w:lang w:val="en-US"/>
        </w:rPr>
        <w:t xml:space="preserve">olitical </w:t>
      </w:r>
      <w:r w:rsidR="007840FC" w:rsidRPr="009B3714">
        <w:rPr>
          <w:rFonts w:cs="Times New Roman"/>
          <w:bCs/>
          <w:sz w:val="22"/>
          <w:szCs w:val="22"/>
          <w:lang w:val="en-US"/>
        </w:rPr>
        <w:t>r</w:t>
      </w:r>
      <w:r w:rsidRPr="009B3714">
        <w:rPr>
          <w:rFonts w:cs="Times New Roman"/>
          <w:bCs/>
          <w:sz w:val="22"/>
          <w:szCs w:val="22"/>
          <w:lang w:val="en-US"/>
        </w:rPr>
        <w:t xml:space="preserve">isks and the </w:t>
      </w:r>
      <w:r w:rsidR="007840FC" w:rsidRPr="009B3714">
        <w:rPr>
          <w:rFonts w:cs="Times New Roman"/>
          <w:bCs/>
          <w:sz w:val="22"/>
          <w:szCs w:val="22"/>
          <w:lang w:val="en-US"/>
        </w:rPr>
        <w:t>f</w:t>
      </w:r>
      <w:r w:rsidRPr="009B3714">
        <w:rPr>
          <w:rFonts w:cs="Times New Roman"/>
          <w:bCs/>
          <w:sz w:val="22"/>
          <w:szCs w:val="22"/>
          <w:lang w:val="en-US"/>
        </w:rPr>
        <w:t xml:space="preserve">low of </w:t>
      </w:r>
      <w:r w:rsidR="007840FC" w:rsidRPr="009B3714">
        <w:rPr>
          <w:rFonts w:cs="Times New Roman"/>
          <w:bCs/>
          <w:sz w:val="22"/>
          <w:szCs w:val="22"/>
          <w:lang w:val="en-US"/>
        </w:rPr>
        <w:t>f</w:t>
      </w:r>
      <w:r w:rsidRPr="009B3714">
        <w:rPr>
          <w:rFonts w:cs="Times New Roman"/>
          <w:bCs/>
          <w:sz w:val="22"/>
          <w:szCs w:val="22"/>
          <w:lang w:val="en-US"/>
        </w:rPr>
        <w:t xml:space="preserve">oreign </w:t>
      </w:r>
      <w:r w:rsidR="007840FC" w:rsidRPr="009B3714">
        <w:rPr>
          <w:rFonts w:cs="Times New Roman"/>
          <w:bCs/>
          <w:sz w:val="22"/>
          <w:szCs w:val="22"/>
          <w:lang w:val="en-US"/>
        </w:rPr>
        <w:t>d</w:t>
      </w:r>
      <w:r w:rsidRPr="009B3714">
        <w:rPr>
          <w:rFonts w:cs="Times New Roman"/>
          <w:bCs/>
          <w:sz w:val="22"/>
          <w:szCs w:val="22"/>
          <w:lang w:val="en-US"/>
        </w:rPr>
        <w:t xml:space="preserve">irect </w:t>
      </w:r>
      <w:r w:rsidR="007840FC" w:rsidRPr="009B3714">
        <w:rPr>
          <w:rFonts w:cs="Times New Roman"/>
          <w:bCs/>
          <w:sz w:val="22"/>
          <w:szCs w:val="22"/>
          <w:lang w:val="en-US"/>
        </w:rPr>
        <w:t>i</w:t>
      </w:r>
      <w:r w:rsidRPr="009B3714">
        <w:rPr>
          <w:rFonts w:cs="Times New Roman"/>
          <w:bCs/>
          <w:sz w:val="22"/>
          <w:szCs w:val="22"/>
          <w:lang w:val="en-US"/>
        </w:rPr>
        <w:t xml:space="preserve">nvestment in </w:t>
      </w:r>
      <w:r w:rsidR="007840FC" w:rsidRPr="009B3714">
        <w:rPr>
          <w:rFonts w:cs="Times New Roman"/>
          <w:bCs/>
          <w:sz w:val="22"/>
          <w:szCs w:val="22"/>
          <w:lang w:val="en-US"/>
        </w:rPr>
        <w:t>d</w:t>
      </w:r>
      <w:r w:rsidRPr="009B3714">
        <w:rPr>
          <w:rFonts w:cs="Times New Roman"/>
          <w:bCs/>
          <w:sz w:val="22"/>
          <w:szCs w:val="22"/>
          <w:lang w:val="en-US"/>
        </w:rPr>
        <w:t xml:space="preserve">eveloping and </w:t>
      </w:r>
      <w:r w:rsidR="007840FC" w:rsidRPr="009B3714">
        <w:rPr>
          <w:rFonts w:cs="Times New Roman"/>
          <w:bCs/>
          <w:sz w:val="22"/>
          <w:szCs w:val="22"/>
          <w:lang w:val="en-US"/>
        </w:rPr>
        <w:t>i</w:t>
      </w:r>
      <w:r w:rsidRPr="009B3714">
        <w:rPr>
          <w:rFonts w:cs="Times New Roman"/>
          <w:bCs/>
          <w:sz w:val="22"/>
          <w:szCs w:val="22"/>
          <w:lang w:val="en-US"/>
        </w:rPr>
        <w:t xml:space="preserve">ndustrialized </w:t>
      </w:r>
      <w:r w:rsidR="007840FC" w:rsidRPr="009B3714">
        <w:rPr>
          <w:rFonts w:cs="Times New Roman"/>
          <w:bCs/>
          <w:sz w:val="22"/>
          <w:szCs w:val="22"/>
          <w:lang w:val="en-US"/>
        </w:rPr>
        <w:t>e</w:t>
      </w:r>
      <w:r w:rsidRPr="009B3714">
        <w:rPr>
          <w:rFonts w:cs="Times New Roman"/>
          <w:bCs/>
          <w:sz w:val="22"/>
          <w:szCs w:val="22"/>
          <w:lang w:val="en-US"/>
        </w:rPr>
        <w:t>conomies.</w:t>
      </w:r>
      <w:proofErr w:type="gramEnd"/>
      <w:r w:rsidRPr="009B3714">
        <w:rPr>
          <w:rFonts w:cs="Times New Roman"/>
          <w:b/>
          <w:bCs/>
          <w:sz w:val="22"/>
          <w:szCs w:val="22"/>
          <w:lang w:val="en-US"/>
        </w:rPr>
        <w:t xml:space="preserve"> </w:t>
      </w:r>
      <w:r w:rsidRPr="009B3714">
        <w:rPr>
          <w:rFonts w:cs="Times New Roman"/>
          <w:iCs/>
          <w:sz w:val="22"/>
          <w:szCs w:val="22"/>
          <w:lang w:val="en-US"/>
        </w:rPr>
        <w:t>Economics, Management, and Financial Markets</w:t>
      </w:r>
      <w:r w:rsidR="007840FC" w:rsidRPr="009B3714">
        <w:rPr>
          <w:rFonts w:cs="Times New Roman"/>
          <w:iCs/>
          <w:sz w:val="22"/>
          <w:szCs w:val="22"/>
          <w:lang w:val="en-US"/>
        </w:rPr>
        <w:t>,</w:t>
      </w:r>
      <w:r w:rsidRPr="009B3714">
        <w:rPr>
          <w:rFonts w:cs="Times New Roman"/>
          <w:i/>
          <w:iCs/>
          <w:sz w:val="22"/>
          <w:szCs w:val="22"/>
          <w:lang w:val="en-US"/>
        </w:rPr>
        <w:t xml:space="preserve"> </w:t>
      </w:r>
      <w:r w:rsidR="007840FC" w:rsidRPr="009B3714">
        <w:rPr>
          <w:rFonts w:cs="Times New Roman"/>
          <w:sz w:val="22"/>
          <w:szCs w:val="22"/>
          <w:lang w:val="en-US"/>
        </w:rPr>
        <w:t>6(4), 60-91</w:t>
      </w:r>
      <w:r w:rsidR="00DD548D" w:rsidRPr="009B3714">
        <w:rPr>
          <w:rFonts w:cs="Times New Roman"/>
          <w:sz w:val="22"/>
          <w:szCs w:val="22"/>
          <w:lang w:val="en-US"/>
        </w:rPr>
        <w:t>.</w:t>
      </w:r>
    </w:p>
    <w:p w:rsidR="00E54B07" w:rsidRPr="009B3714" w:rsidRDefault="00E54B07" w:rsidP="00B108CE">
      <w:pPr>
        <w:rPr>
          <w:rFonts w:cs="Times New Roman"/>
          <w:sz w:val="22"/>
          <w:szCs w:val="22"/>
        </w:rPr>
      </w:pPr>
    </w:p>
    <w:p w:rsidR="002A1E34" w:rsidRPr="009B3714" w:rsidRDefault="002A1E34" w:rsidP="00B108CE">
      <w:pPr>
        <w:rPr>
          <w:rFonts w:cs="Times New Roman"/>
          <w:sz w:val="22"/>
          <w:szCs w:val="22"/>
        </w:rPr>
      </w:pPr>
      <w:proofErr w:type="spellStart"/>
      <w:proofErr w:type="gramStart"/>
      <w:r w:rsidRPr="009B3714">
        <w:rPr>
          <w:rFonts w:cs="Times New Roman"/>
          <w:sz w:val="22"/>
          <w:szCs w:val="22"/>
        </w:rPr>
        <w:t>Barta</w:t>
      </w:r>
      <w:proofErr w:type="spellEnd"/>
      <w:r w:rsidRPr="009B3714">
        <w:rPr>
          <w:rFonts w:cs="Times New Roman"/>
          <w:sz w:val="22"/>
          <w:szCs w:val="22"/>
        </w:rPr>
        <w:t>, G., Kaufmann, D., &amp; Stone, A. (2003).</w:t>
      </w:r>
      <w:proofErr w:type="gramEnd"/>
      <w:r w:rsidRPr="009B3714">
        <w:rPr>
          <w:rFonts w:cs="Times New Roman"/>
          <w:sz w:val="22"/>
          <w:szCs w:val="22"/>
        </w:rPr>
        <w:t xml:space="preserve"> Investment climate around the world: Voices of the firms from the World Business Environment Survey. Washington, DC: World Bank.</w:t>
      </w:r>
    </w:p>
    <w:p w:rsidR="00867F0D" w:rsidRPr="009B3714" w:rsidRDefault="00867F0D" w:rsidP="00B108CE">
      <w:pPr>
        <w:rPr>
          <w:rFonts w:cs="Times New Roman"/>
          <w:sz w:val="22"/>
          <w:szCs w:val="22"/>
        </w:rPr>
      </w:pPr>
    </w:p>
    <w:p w:rsidR="00913F20" w:rsidRPr="009B3714" w:rsidRDefault="00867F0D" w:rsidP="00867F0D">
      <w:pPr>
        <w:rPr>
          <w:rFonts w:cs="Times New Roman"/>
          <w:sz w:val="22"/>
          <w:szCs w:val="22"/>
        </w:rPr>
      </w:pPr>
      <w:proofErr w:type="spellStart"/>
      <w:proofErr w:type="gramStart"/>
      <w:r w:rsidRPr="009B3714">
        <w:rPr>
          <w:rFonts w:cs="Times New Roman"/>
          <w:sz w:val="22"/>
          <w:szCs w:val="22"/>
        </w:rPr>
        <w:t>Busse</w:t>
      </w:r>
      <w:proofErr w:type="spellEnd"/>
      <w:r w:rsidRPr="009B3714">
        <w:rPr>
          <w:rFonts w:cs="Times New Roman"/>
          <w:sz w:val="22"/>
          <w:szCs w:val="22"/>
        </w:rPr>
        <w:t xml:space="preserve">, Matthias, and Carsten </w:t>
      </w:r>
      <w:proofErr w:type="spellStart"/>
      <w:r w:rsidRPr="009B3714">
        <w:rPr>
          <w:rFonts w:cs="Times New Roman"/>
          <w:sz w:val="22"/>
          <w:szCs w:val="22"/>
        </w:rPr>
        <w:t>Hefeker</w:t>
      </w:r>
      <w:proofErr w:type="spellEnd"/>
      <w:r w:rsidRPr="009B3714">
        <w:rPr>
          <w:rFonts w:cs="Times New Roman"/>
          <w:sz w:val="22"/>
          <w:szCs w:val="22"/>
        </w:rPr>
        <w:t>.</w:t>
      </w:r>
      <w:proofErr w:type="gramEnd"/>
      <w:r w:rsidRPr="009B3714">
        <w:rPr>
          <w:rFonts w:cs="Times New Roman"/>
          <w:sz w:val="22"/>
          <w:szCs w:val="22"/>
        </w:rPr>
        <w:t xml:space="preserve"> </w:t>
      </w:r>
      <w:proofErr w:type="gramStart"/>
      <w:r w:rsidRPr="009B3714">
        <w:rPr>
          <w:rFonts w:cs="Times New Roman"/>
          <w:sz w:val="22"/>
          <w:szCs w:val="22"/>
        </w:rPr>
        <w:t>(2007) Political Risk, Institutions and FDI.</w:t>
      </w:r>
      <w:proofErr w:type="gramEnd"/>
      <w:r w:rsidRPr="009B3714">
        <w:rPr>
          <w:rFonts w:cs="Times New Roman"/>
          <w:sz w:val="22"/>
          <w:szCs w:val="22"/>
        </w:rPr>
        <w:t xml:space="preserve"> </w:t>
      </w:r>
      <w:proofErr w:type="gramStart"/>
      <w:r w:rsidRPr="009B3714">
        <w:rPr>
          <w:rFonts w:cs="Times New Roman"/>
          <w:sz w:val="22"/>
          <w:szCs w:val="22"/>
        </w:rPr>
        <w:t>European Journal of Political Economy.</w:t>
      </w:r>
      <w:proofErr w:type="gramEnd"/>
      <w:r w:rsidRPr="009B3714">
        <w:rPr>
          <w:rFonts w:cs="Times New Roman"/>
          <w:sz w:val="22"/>
          <w:szCs w:val="22"/>
        </w:rPr>
        <w:t xml:space="preserve"> 23(2):397–415.</w:t>
      </w:r>
    </w:p>
    <w:p w:rsidR="00867F0D" w:rsidRPr="009B3714" w:rsidRDefault="00867F0D" w:rsidP="00867F0D">
      <w:pPr>
        <w:rPr>
          <w:rFonts w:cs="Times New Roman"/>
          <w:sz w:val="22"/>
          <w:szCs w:val="22"/>
        </w:rPr>
      </w:pPr>
    </w:p>
    <w:p w:rsidR="00D125A7" w:rsidRPr="009B3714" w:rsidRDefault="00913F20" w:rsidP="00B108CE">
      <w:pPr>
        <w:rPr>
          <w:rFonts w:cs="Times New Roman"/>
          <w:sz w:val="22"/>
          <w:szCs w:val="22"/>
        </w:rPr>
      </w:pPr>
      <w:proofErr w:type="spellStart"/>
      <w:proofErr w:type="gramStart"/>
      <w:r w:rsidRPr="009B3714">
        <w:rPr>
          <w:rFonts w:cs="Times New Roman"/>
          <w:sz w:val="22"/>
          <w:szCs w:val="22"/>
          <w:lang w:val="en-US"/>
        </w:rPr>
        <w:t>Bussmann</w:t>
      </w:r>
      <w:proofErr w:type="spellEnd"/>
      <w:r w:rsidRPr="009B3714">
        <w:rPr>
          <w:rFonts w:cs="Times New Roman"/>
          <w:sz w:val="22"/>
          <w:szCs w:val="22"/>
          <w:lang w:val="en-US"/>
        </w:rPr>
        <w:t>, M. (2010).</w:t>
      </w:r>
      <w:proofErr w:type="gramEnd"/>
      <w:r w:rsidRPr="009B3714">
        <w:rPr>
          <w:rFonts w:cs="Times New Roman"/>
          <w:sz w:val="22"/>
          <w:szCs w:val="22"/>
          <w:lang w:val="en-US"/>
        </w:rPr>
        <w:t xml:space="preserve"> </w:t>
      </w:r>
      <w:proofErr w:type="gramStart"/>
      <w:r w:rsidRPr="009B3714">
        <w:rPr>
          <w:rFonts w:cs="Times New Roman"/>
          <w:sz w:val="22"/>
          <w:szCs w:val="22"/>
          <w:lang w:val="en-US"/>
        </w:rPr>
        <w:t xml:space="preserve">Foreign </w:t>
      </w:r>
      <w:r w:rsidR="00DD548D" w:rsidRPr="009B3714">
        <w:rPr>
          <w:rFonts w:cs="Times New Roman"/>
          <w:sz w:val="22"/>
          <w:szCs w:val="22"/>
          <w:lang w:val="en-US"/>
        </w:rPr>
        <w:t>d</w:t>
      </w:r>
      <w:r w:rsidRPr="009B3714">
        <w:rPr>
          <w:rFonts w:cs="Times New Roman"/>
          <w:sz w:val="22"/>
          <w:szCs w:val="22"/>
          <w:lang w:val="en-US"/>
        </w:rPr>
        <w:t xml:space="preserve">irect </w:t>
      </w:r>
      <w:r w:rsidR="00DD548D" w:rsidRPr="009B3714">
        <w:rPr>
          <w:rFonts w:cs="Times New Roman"/>
          <w:sz w:val="22"/>
          <w:szCs w:val="22"/>
          <w:lang w:val="en-US"/>
        </w:rPr>
        <w:t>i</w:t>
      </w:r>
      <w:r w:rsidRPr="009B3714">
        <w:rPr>
          <w:rFonts w:cs="Times New Roman"/>
          <w:sz w:val="22"/>
          <w:szCs w:val="22"/>
          <w:lang w:val="en-US"/>
        </w:rPr>
        <w:t xml:space="preserve">nvestment and </w:t>
      </w:r>
      <w:r w:rsidR="00DD548D" w:rsidRPr="009B3714">
        <w:rPr>
          <w:rFonts w:cs="Times New Roman"/>
          <w:sz w:val="22"/>
          <w:szCs w:val="22"/>
          <w:lang w:val="en-US"/>
        </w:rPr>
        <w:t>m</w:t>
      </w:r>
      <w:r w:rsidRPr="009B3714">
        <w:rPr>
          <w:rFonts w:cs="Times New Roman"/>
          <w:sz w:val="22"/>
          <w:szCs w:val="22"/>
          <w:lang w:val="en-US"/>
        </w:rPr>
        <w:t xml:space="preserve">ilitarized </w:t>
      </w:r>
      <w:r w:rsidR="00DD548D" w:rsidRPr="009B3714">
        <w:rPr>
          <w:rFonts w:cs="Times New Roman"/>
          <w:sz w:val="22"/>
          <w:szCs w:val="22"/>
          <w:lang w:val="en-US"/>
        </w:rPr>
        <w:t>international c</w:t>
      </w:r>
      <w:r w:rsidRPr="009B3714">
        <w:rPr>
          <w:rFonts w:cs="Times New Roman"/>
          <w:sz w:val="22"/>
          <w:szCs w:val="22"/>
          <w:lang w:val="en-US"/>
        </w:rPr>
        <w:t>onflict.</w:t>
      </w:r>
      <w:proofErr w:type="gramEnd"/>
      <w:r w:rsidR="00521D3F" w:rsidRPr="009B3714">
        <w:rPr>
          <w:rFonts w:cs="Times New Roman"/>
          <w:sz w:val="22"/>
          <w:szCs w:val="22"/>
          <w:lang w:val="en-US"/>
        </w:rPr>
        <w:t xml:space="preserve"> </w:t>
      </w:r>
      <w:r w:rsidR="00DD548D" w:rsidRPr="009B3714">
        <w:rPr>
          <w:rFonts w:cs="Times New Roman"/>
          <w:iCs/>
          <w:sz w:val="22"/>
          <w:szCs w:val="22"/>
          <w:lang w:val="en-US"/>
        </w:rPr>
        <w:t>Journal of Peace Research,</w:t>
      </w:r>
      <w:r w:rsidR="00D125A7" w:rsidRPr="009B3714">
        <w:rPr>
          <w:rFonts w:cs="Times New Roman"/>
          <w:iCs/>
          <w:sz w:val="22"/>
          <w:szCs w:val="22"/>
          <w:lang w:val="en-US"/>
        </w:rPr>
        <w:t xml:space="preserve"> </w:t>
      </w:r>
      <w:r w:rsidRPr="009B3714">
        <w:rPr>
          <w:rFonts w:cs="Times New Roman"/>
          <w:sz w:val="22"/>
          <w:szCs w:val="22"/>
          <w:lang w:val="en-US"/>
        </w:rPr>
        <w:t>47</w:t>
      </w:r>
      <w:r w:rsidR="00521D3F" w:rsidRPr="009B3714">
        <w:rPr>
          <w:rFonts w:cs="Times New Roman"/>
          <w:sz w:val="22"/>
          <w:szCs w:val="22"/>
          <w:lang w:val="en-US"/>
        </w:rPr>
        <w:t>(</w:t>
      </w:r>
      <w:r w:rsidRPr="009B3714">
        <w:rPr>
          <w:rFonts w:cs="Times New Roman"/>
          <w:sz w:val="22"/>
          <w:szCs w:val="22"/>
          <w:lang w:val="en-US"/>
        </w:rPr>
        <w:t>2</w:t>
      </w:r>
      <w:r w:rsidR="00521D3F" w:rsidRPr="009B3714">
        <w:rPr>
          <w:rFonts w:cs="Times New Roman"/>
          <w:sz w:val="22"/>
          <w:szCs w:val="22"/>
          <w:lang w:val="en-US"/>
        </w:rPr>
        <w:t>)</w:t>
      </w:r>
      <w:r w:rsidR="00D125A7" w:rsidRPr="009B3714">
        <w:rPr>
          <w:rFonts w:cs="Times New Roman"/>
          <w:sz w:val="22"/>
          <w:szCs w:val="22"/>
          <w:lang w:val="en-US"/>
        </w:rPr>
        <w:t xml:space="preserve"> 143–15</w:t>
      </w:r>
      <w:r w:rsidR="00DD548D" w:rsidRPr="009B3714">
        <w:rPr>
          <w:rFonts w:cs="Times New Roman"/>
          <w:sz w:val="22"/>
          <w:szCs w:val="22"/>
          <w:lang w:val="en-US"/>
        </w:rPr>
        <w:t>3.</w:t>
      </w:r>
      <w:r w:rsidR="00D125A7" w:rsidRPr="009B3714">
        <w:rPr>
          <w:rFonts w:cs="Times New Roman"/>
          <w:sz w:val="22"/>
          <w:szCs w:val="22"/>
          <w:lang w:val="en-US"/>
        </w:rPr>
        <w:t xml:space="preserve"> </w:t>
      </w:r>
    </w:p>
    <w:p w:rsidR="00D125A7" w:rsidRPr="009B3714" w:rsidRDefault="00D125A7" w:rsidP="00B108CE">
      <w:pPr>
        <w:rPr>
          <w:rFonts w:cs="Times New Roman"/>
          <w:sz w:val="22"/>
          <w:szCs w:val="22"/>
        </w:rPr>
      </w:pPr>
    </w:p>
    <w:p w:rsidR="0018686D" w:rsidRPr="009B3714" w:rsidRDefault="0018686D" w:rsidP="00B108CE">
      <w:pPr>
        <w:rPr>
          <w:rFonts w:cs="Times New Roman"/>
          <w:sz w:val="22"/>
          <w:szCs w:val="22"/>
        </w:rPr>
      </w:pPr>
      <w:r w:rsidRPr="009B3714">
        <w:rPr>
          <w:rFonts w:cs="Times New Roman"/>
          <w:sz w:val="22"/>
          <w:szCs w:val="22"/>
        </w:rPr>
        <w:t xml:space="preserve">Cleeve, E. (2012). </w:t>
      </w:r>
      <w:proofErr w:type="gramStart"/>
      <w:r w:rsidRPr="009B3714">
        <w:rPr>
          <w:rFonts w:cs="Times New Roman"/>
          <w:sz w:val="22"/>
          <w:szCs w:val="22"/>
        </w:rPr>
        <w:t>Political and institutional impediments to foreign direct investment inflows to Sub-Saharan Africa.</w:t>
      </w:r>
      <w:proofErr w:type="gramEnd"/>
      <w:r w:rsidRPr="009B3714">
        <w:rPr>
          <w:rFonts w:cs="Times New Roman"/>
          <w:sz w:val="22"/>
          <w:szCs w:val="22"/>
        </w:rPr>
        <w:t xml:space="preserve"> </w:t>
      </w:r>
      <w:r w:rsidRPr="009B3714">
        <w:rPr>
          <w:rFonts w:cs="Times New Roman"/>
          <w:sz w:val="22"/>
          <w:szCs w:val="22"/>
          <w:lang w:val="en-US"/>
        </w:rPr>
        <w:t>Thunderbird International Business Review</w:t>
      </w:r>
      <w:r w:rsidR="00DD548D" w:rsidRPr="009B3714">
        <w:rPr>
          <w:rFonts w:cs="Times New Roman"/>
          <w:sz w:val="22"/>
          <w:szCs w:val="22"/>
          <w:lang w:val="en-US"/>
        </w:rPr>
        <w:t>,</w:t>
      </w:r>
      <w:r w:rsidRPr="009B3714">
        <w:rPr>
          <w:rFonts w:cs="Times New Roman"/>
          <w:sz w:val="22"/>
          <w:szCs w:val="22"/>
        </w:rPr>
        <w:t xml:space="preserve"> </w:t>
      </w:r>
      <w:r w:rsidR="00DD548D" w:rsidRPr="009B3714">
        <w:rPr>
          <w:rFonts w:cs="Times New Roman"/>
          <w:sz w:val="22"/>
          <w:szCs w:val="22"/>
        </w:rPr>
        <w:t>54(4), 469-477.</w:t>
      </w:r>
      <w:r w:rsidRPr="009B3714">
        <w:rPr>
          <w:rFonts w:cs="Times New Roman"/>
          <w:sz w:val="22"/>
          <w:szCs w:val="22"/>
        </w:rPr>
        <w:t xml:space="preserve"> </w:t>
      </w:r>
    </w:p>
    <w:p w:rsidR="0018686D" w:rsidRPr="009B3714" w:rsidRDefault="0018686D" w:rsidP="00B108CE">
      <w:pPr>
        <w:rPr>
          <w:rFonts w:cs="Times New Roman"/>
          <w:sz w:val="22"/>
          <w:szCs w:val="22"/>
        </w:rPr>
      </w:pPr>
    </w:p>
    <w:p w:rsidR="006A4ECE" w:rsidRPr="009B3714" w:rsidRDefault="006A4ECE" w:rsidP="00B108CE">
      <w:pPr>
        <w:rPr>
          <w:rFonts w:cs="Times New Roman"/>
          <w:sz w:val="22"/>
          <w:szCs w:val="22"/>
        </w:rPr>
      </w:pPr>
      <w:r w:rsidRPr="009B3714">
        <w:rPr>
          <w:rFonts w:cs="Times New Roman"/>
          <w:sz w:val="22"/>
          <w:szCs w:val="22"/>
        </w:rPr>
        <w:t>Dar-</w:t>
      </w:r>
      <w:proofErr w:type="spellStart"/>
      <w:r w:rsidRPr="009B3714">
        <w:rPr>
          <w:rFonts w:cs="Times New Roman"/>
          <w:sz w:val="22"/>
          <w:szCs w:val="22"/>
        </w:rPr>
        <w:t>Hsin</w:t>
      </w:r>
      <w:proofErr w:type="spellEnd"/>
      <w:r w:rsidRPr="009B3714">
        <w:rPr>
          <w:rFonts w:cs="Times New Roman"/>
          <w:sz w:val="22"/>
          <w:szCs w:val="22"/>
        </w:rPr>
        <w:t xml:space="preserve"> C., Feng-Shun, B. </w:t>
      </w:r>
      <w:r w:rsidR="00DD548D" w:rsidRPr="009B3714">
        <w:rPr>
          <w:rFonts w:cs="Times New Roman"/>
          <w:sz w:val="22"/>
          <w:szCs w:val="22"/>
        </w:rPr>
        <w:t>&amp;</w:t>
      </w:r>
      <w:r w:rsidRPr="009B3714">
        <w:rPr>
          <w:rFonts w:cs="Times New Roman"/>
          <w:sz w:val="22"/>
          <w:szCs w:val="22"/>
        </w:rPr>
        <w:t xml:space="preserve"> Chun-Da, C. (2005). The </w:t>
      </w:r>
      <w:r w:rsidR="00BE261E" w:rsidRPr="009B3714">
        <w:rPr>
          <w:rFonts w:cs="Times New Roman"/>
          <w:sz w:val="22"/>
          <w:szCs w:val="22"/>
        </w:rPr>
        <w:t>i</w:t>
      </w:r>
      <w:r w:rsidRPr="009B3714">
        <w:rPr>
          <w:rFonts w:cs="Times New Roman"/>
          <w:sz w:val="22"/>
          <w:szCs w:val="22"/>
        </w:rPr>
        <w:t xml:space="preserve">mpacts of </w:t>
      </w:r>
      <w:r w:rsidR="00BE261E" w:rsidRPr="009B3714">
        <w:rPr>
          <w:rFonts w:cs="Times New Roman"/>
          <w:sz w:val="22"/>
          <w:szCs w:val="22"/>
        </w:rPr>
        <w:t>p</w:t>
      </w:r>
      <w:r w:rsidRPr="009B3714">
        <w:rPr>
          <w:rFonts w:cs="Times New Roman"/>
          <w:sz w:val="22"/>
          <w:szCs w:val="22"/>
        </w:rPr>
        <w:t xml:space="preserve">olitical </w:t>
      </w:r>
      <w:r w:rsidR="00BE261E" w:rsidRPr="009B3714">
        <w:rPr>
          <w:rFonts w:cs="Times New Roman"/>
          <w:sz w:val="22"/>
          <w:szCs w:val="22"/>
        </w:rPr>
        <w:t>e</w:t>
      </w:r>
      <w:r w:rsidRPr="009B3714">
        <w:rPr>
          <w:rFonts w:cs="Times New Roman"/>
          <w:sz w:val="22"/>
          <w:szCs w:val="22"/>
        </w:rPr>
        <w:t xml:space="preserve">vents on </w:t>
      </w:r>
      <w:r w:rsidR="00BE261E" w:rsidRPr="009B3714">
        <w:rPr>
          <w:rFonts w:cs="Times New Roman"/>
          <w:sz w:val="22"/>
          <w:szCs w:val="22"/>
        </w:rPr>
        <w:t>f</w:t>
      </w:r>
      <w:r w:rsidRPr="009B3714">
        <w:rPr>
          <w:rFonts w:cs="Times New Roman"/>
          <w:sz w:val="22"/>
          <w:szCs w:val="22"/>
        </w:rPr>
        <w:t xml:space="preserve">oreign </w:t>
      </w:r>
      <w:r w:rsidR="00BE261E" w:rsidRPr="009B3714">
        <w:rPr>
          <w:rFonts w:cs="Times New Roman"/>
          <w:sz w:val="22"/>
          <w:szCs w:val="22"/>
        </w:rPr>
        <w:t>i</w:t>
      </w:r>
      <w:r w:rsidRPr="009B3714">
        <w:rPr>
          <w:rFonts w:cs="Times New Roman"/>
          <w:sz w:val="22"/>
          <w:szCs w:val="22"/>
        </w:rPr>
        <w:t xml:space="preserve">nstitutional </w:t>
      </w:r>
      <w:r w:rsidR="00BE261E" w:rsidRPr="009B3714">
        <w:rPr>
          <w:rFonts w:cs="Times New Roman"/>
          <w:sz w:val="22"/>
          <w:szCs w:val="22"/>
        </w:rPr>
        <w:t>i</w:t>
      </w:r>
      <w:r w:rsidRPr="009B3714">
        <w:rPr>
          <w:rFonts w:cs="Times New Roman"/>
          <w:sz w:val="22"/>
          <w:szCs w:val="22"/>
        </w:rPr>
        <w:t xml:space="preserve">nvestors and </w:t>
      </w:r>
      <w:r w:rsidR="00BE261E" w:rsidRPr="009B3714">
        <w:rPr>
          <w:rFonts w:cs="Times New Roman"/>
          <w:sz w:val="22"/>
          <w:szCs w:val="22"/>
        </w:rPr>
        <w:t>s</w:t>
      </w:r>
      <w:r w:rsidRPr="009B3714">
        <w:rPr>
          <w:rFonts w:cs="Times New Roman"/>
          <w:sz w:val="22"/>
          <w:szCs w:val="22"/>
        </w:rPr>
        <w:t xml:space="preserve">tock </w:t>
      </w:r>
      <w:r w:rsidR="00BE261E" w:rsidRPr="009B3714">
        <w:rPr>
          <w:rFonts w:cs="Times New Roman"/>
          <w:sz w:val="22"/>
          <w:szCs w:val="22"/>
        </w:rPr>
        <w:t>r</w:t>
      </w:r>
      <w:r w:rsidRPr="009B3714">
        <w:rPr>
          <w:rFonts w:cs="Times New Roman"/>
          <w:sz w:val="22"/>
          <w:szCs w:val="22"/>
        </w:rPr>
        <w:t xml:space="preserve">eturns: Emerging </w:t>
      </w:r>
      <w:r w:rsidR="00BE261E" w:rsidRPr="009B3714">
        <w:rPr>
          <w:rFonts w:cs="Times New Roman"/>
          <w:sz w:val="22"/>
          <w:szCs w:val="22"/>
        </w:rPr>
        <w:t>market e</w:t>
      </w:r>
      <w:r w:rsidRPr="009B3714">
        <w:rPr>
          <w:rFonts w:cs="Times New Roman"/>
          <w:sz w:val="22"/>
          <w:szCs w:val="22"/>
        </w:rPr>
        <w:t xml:space="preserve">vidence from Taiwan. </w:t>
      </w:r>
      <w:r w:rsidRPr="009B3714">
        <w:rPr>
          <w:rFonts w:cs="Times New Roman"/>
          <w:iCs/>
          <w:sz w:val="22"/>
          <w:szCs w:val="22"/>
        </w:rPr>
        <w:t>International Journal of Business</w:t>
      </w:r>
      <w:r w:rsidR="00BE261E" w:rsidRPr="009B3714">
        <w:rPr>
          <w:rFonts w:cs="Times New Roman"/>
          <w:sz w:val="22"/>
          <w:szCs w:val="22"/>
        </w:rPr>
        <w:t>, 10 (2), 165-188.</w:t>
      </w:r>
      <w:r w:rsidRPr="009B3714">
        <w:rPr>
          <w:rFonts w:cs="Times New Roman"/>
          <w:sz w:val="22"/>
          <w:szCs w:val="22"/>
        </w:rPr>
        <w:t xml:space="preserve">  </w:t>
      </w:r>
    </w:p>
    <w:p w:rsidR="006A4ECE" w:rsidRPr="009B3714" w:rsidRDefault="006A4ECE" w:rsidP="00B108CE">
      <w:pPr>
        <w:rPr>
          <w:rFonts w:cs="Times New Roman"/>
          <w:sz w:val="22"/>
          <w:szCs w:val="22"/>
        </w:rPr>
      </w:pPr>
    </w:p>
    <w:p w:rsidR="001F090E" w:rsidRPr="009B3714" w:rsidRDefault="00B662C7" w:rsidP="00B108CE">
      <w:pPr>
        <w:rPr>
          <w:rFonts w:cs="Times New Roman"/>
          <w:sz w:val="22"/>
          <w:szCs w:val="22"/>
        </w:rPr>
      </w:pPr>
      <w:proofErr w:type="spellStart"/>
      <w:proofErr w:type="gramStart"/>
      <w:r w:rsidRPr="009B3714">
        <w:rPr>
          <w:rFonts w:cs="Times New Roman"/>
          <w:sz w:val="22"/>
          <w:szCs w:val="22"/>
        </w:rPr>
        <w:t>Djiofack-Zebaze</w:t>
      </w:r>
      <w:proofErr w:type="spellEnd"/>
      <w:r w:rsidRPr="009B3714">
        <w:rPr>
          <w:rFonts w:cs="Times New Roman"/>
          <w:sz w:val="22"/>
          <w:szCs w:val="22"/>
        </w:rPr>
        <w:t xml:space="preserve">, C., </w:t>
      </w:r>
      <w:r w:rsidR="00BE261E" w:rsidRPr="009B3714">
        <w:rPr>
          <w:rFonts w:cs="Times New Roman"/>
          <w:sz w:val="22"/>
          <w:szCs w:val="22"/>
        </w:rPr>
        <w:t>&amp;</w:t>
      </w:r>
      <w:r w:rsidRPr="009B3714">
        <w:rPr>
          <w:rFonts w:cs="Times New Roman"/>
          <w:sz w:val="22"/>
          <w:szCs w:val="22"/>
        </w:rPr>
        <w:t xml:space="preserve"> Keck, A. (2009).</w:t>
      </w:r>
      <w:proofErr w:type="gramEnd"/>
      <w:r w:rsidRPr="009B3714">
        <w:rPr>
          <w:rFonts w:cs="Times New Roman"/>
          <w:sz w:val="22"/>
          <w:szCs w:val="22"/>
        </w:rPr>
        <w:t xml:space="preserve"> Telecommunications </w:t>
      </w:r>
      <w:r w:rsidR="00BE261E" w:rsidRPr="009B3714">
        <w:rPr>
          <w:rFonts w:cs="Times New Roman"/>
          <w:sz w:val="22"/>
          <w:szCs w:val="22"/>
        </w:rPr>
        <w:t>services in Africa: The i</w:t>
      </w:r>
      <w:r w:rsidRPr="009B3714">
        <w:rPr>
          <w:rFonts w:cs="Times New Roman"/>
          <w:sz w:val="22"/>
          <w:szCs w:val="22"/>
        </w:rPr>
        <w:t xml:space="preserve">mpact of WTO </w:t>
      </w:r>
      <w:r w:rsidR="00BE261E" w:rsidRPr="009B3714">
        <w:rPr>
          <w:rFonts w:cs="Times New Roman"/>
          <w:sz w:val="22"/>
          <w:szCs w:val="22"/>
        </w:rPr>
        <w:t>c</w:t>
      </w:r>
      <w:r w:rsidRPr="009B3714">
        <w:rPr>
          <w:rFonts w:cs="Times New Roman"/>
          <w:sz w:val="22"/>
          <w:szCs w:val="22"/>
        </w:rPr>
        <w:t xml:space="preserve">ommitments and </w:t>
      </w:r>
      <w:r w:rsidR="00BE261E" w:rsidRPr="009B3714">
        <w:rPr>
          <w:rFonts w:cs="Times New Roman"/>
          <w:sz w:val="22"/>
          <w:szCs w:val="22"/>
        </w:rPr>
        <w:t>u</w:t>
      </w:r>
      <w:r w:rsidRPr="009B3714">
        <w:rPr>
          <w:rFonts w:cs="Times New Roman"/>
          <w:sz w:val="22"/>
          <w:szCs w:val="22"/>
        </w:rPr>
        <w:t xml:space="preserve">nilateral </w:t>
      </w:r>
      <w:r w:rsidR="00BE261E" w:rsidRPr="009B3714">
        <w:rPr>
          <w:rFonts w:cs="Times New Roman"/>
          <w:sz w:val="22"/>
          <w:szCs w:val="22"/>
        </w:rPr>
        <w:t>r</w:t>
      </w:r>
      <w:r w:rsidRPr="009B3714">
        <w:rPr>
          <w:rFonts w:cs="Times New Roman"/>
          <w:sz w:val="22"/>
          <w:szCs w:val="22"/>
        </w:rPr>
        <w:t xml:space="preserve">eform on </w:t>
      </w:r>
      <w:r w:rsidR="00BE261E" w:rsidRPr="009B3714">
        <w:rPr>
          <w:rFonts w:cs="Times New Roman"/>
          <w:sz w:val="22"/>
          <w:szCs w:val="22"/>
        </w:rPr>
        <w:t>s</w:t>
      </w:r>
      <w:r w:rsidRPr="009B3714">
        <w:rPr>
          <w:rFonts w:cs="Times New Roman"/>
          <w:sz w:val="22"/>
          <w:szCs w:val="22"/>
        </w:rPr>
        <w:t xml:space="preserve">ector </w:t>
      </w:r>
      <w:r w:rsidR="00BE261E" w:rsidRPr="009B3714">
        <w:rPr>
          <w:rFonts w:cs="Times New Roman"/>
          <w:sz w:val="22"/>
          <w:szCs w:val="22"/>
        </w:rPr>
        <w:t>p</w:t>
      </w:r>
      <w:r w:rsidRPr="009B3714">
        <w:rPr>
          <w:rFonts w:cs="Times New Roman"/>
          <w:sz w:val="22"/>
          <w:szCs w:val="22"/>
        </w:rPr>
        <w:t xml:space="preserve">erformance and </w:t>
      </w:r>
      <w:r w:rsidR="00BE261E" w:rsidRPr="009B3714">
        <w:rPr>
          <w:rFonts w:cs="Times New Roman"/>
          <w:sz w:val="22"/>
          <w:szCs w:val="22"/>
        </w:rPr>
        <w:t>e</w:t>
      </w:r>
      <w:r w:rsidRPr="009B3714">
        <w:rPr>
          <w:rFonts w:cs="Times New Roman"/>
          <w:sz w:val="22"/>
          <w:szCs w:val="22"/>
        </w:rPr>
        <w:t xml:space="preserve">conomic </w:t>
      </w:r>
      <w:r w:rsidR="00BE261E" w:rsidRPr="009B3714">
        <w:rPr>
          <w:rFonts w:cs="Times New Roman"/>
          <w:sz w:val="22"/>
          <w:szCs w:val="22"/>
        </w:rPr>
        <w:t>growth</w:t>
      </w:r>
      <w:r w:rsidRPr="009B3714">
        <w:rPr>
          <w:rFonts w:cs="Times New Roman"/>
          <w:sz w:val="22"/>
          <w:szCs w:val="22"/>
        </w:rPr>
        <w:t xml:space="preserve">. </w:t>
      </w:r>
      <w:proofErr w:type="gramStart"/>
      <w:r w:rsidRPr="009B3714">
        <w:rPr>
          <w:rFonts w:cs="Times New Roman"/>
          <w:sz w:val="22"/>
          <w:szCs w:val="22"/>
        </w:rPr>
        <w:t>World development</w:t>
      </w:r>
      <w:r w:rsidR="00BE261E" w:rsidRPr="009B3714">
        <w:rPr>
          <w:rFonts w:cs="Times New Roman"/>
          <w:sz w:val="22"/>
          <w:szCs w:val="22"/>
        </w:rPr>
        <w:t>,</w:t>
      </w:r>
      <w:r w:rsidRPr="009B3714">
        <w:rPr>
          <w:rFonts w:cs="Times New Roman"/>
          <w:sz w:val="22"/>
          <w:szCs w:val="22"/>
        </w:rPr>
        <w:t xml:space="preserve"> 37(5), 919-940.</w:t>
      </w:r>
      <w:proofErr w:type="gramEnd"/>
      <w:r w:rsidRPr="009B3714">
        <w:rPr>
          <w:rFonts w:cs="Times New Roman"/>
          <w:sz w:val="22"/>
          <w:szCs w:val="22"/>
        </w:rPr>
        <w:t xml:space="preserve"> </w:t>
      </w:r>
    </w:p>
    <w:p w:rsidR="00E54B07" w:rsidRPr="009B3714" w:rsidRDefault="00E54B07" w:rsidP="00B108CE">
      <w:pPr>
        <w:rPr>
          <w:rFonts w:eastAsia="Times New Roman" w:cs="Times New Roman"/>
          <w:sz w:val="22"/>
          <w:szCs w:val="22"/>
        </w:rPr>
      </w:pPr>
    </w:p>
    <w:p w:rsidR="006A4ECE" w:rsidRPr="009B3714" w:rsidRDefault="00FC1DAF" w:rsidP="00B108CE">
      <w:pPr>
        <w:rPr>
          <w:rFonts w:cs="Times New Roman"/>
          <w:sz w:val="22"/>
          <w:szCs w:val="22"/>
        </w:rPr>
      </w:pPr>
      <w:r w:rsidRPr="009B3714">
        <w:rPr>
          <w:rFonts w:cs="Times New Roman"/>
          <w:sz w:val="22"/>
          <w:szCs w:val="22"/>
        </w:rPr>
        <w:t xml:space="preserve">Dunning, J. (1979). </w:t>
      </w:r>
      <w:proofErr w:type="gramStart"/>
      <w:r w:rsidR="006A4ECE" w:rsidRPr="009B3714">
        <w:rPr>
          <w:rFonts w:cs="Times New Roman"/>
          <w:sz w:val="22"/>
          <w:szCs w:val="22"/>
        </w:rPr>
        <w:t xml:space="preserve">Explaining </w:t>
      </w:r>
      <w:r w:rsidR="00BE261E" w:rsidRPr="009B3714">
        <w:rPr>
          <w:rFonts w:cs="Times New Roman"/>
          <w:sz w:val="22"/>
          <w:szCs w:val="22"/>
        </w:rPr>
        <w:t>c</w:t>
      </w:r>
      <w:r w:rsidR="006A4ECE" w:rsidRPr="009B3714">
        <w:rPr>
          <w:rFonts w:cs="Times New Roman"/>
          <w:sz w:val="22"/>
          <w:szCs w:val="22"/>
        </w:rPr>
        <w:t xml:space="preserve">hanging </w:t>
      </w:r>
      <w:r w:rsidR="00BE261E" w:rsidRPr="009B3714">
        <w:rPr>
          <w:rFonts w:cs="Times New Roman"/>
          <w:sz w:val="22"/>
          <w:szCs w:val="22"/>
        </w:rPr>
        <w:t>p</w:t>
      </w:r>
      <w:r w:rsidR="006A4ECE" w:rsidRPr="009B3714">
        <w:rPr>
          <w:rFonts w:cs="Times New Roman"/>
          <w:sz w:val="22"/>
          <w:szCs w:val="22"/>
        </w:rPr>
        <w:t xml:space="preserve">atterns of </w:t>
      </w:r>
      <w:r w:rsidR="00BE261E" w:rsidRPr="009B3714">
        <w:rPr>
          <w:rFonts w:cs="Times New Roman"/>
          <w:sz w:val="22"/>
          <w:szCs w:val="22"/>
        </w:rPr>
        <w:t>i</w:t>
      </w:r>
      <w:r w:rsidR="006A4ECE" w:rsidRPr="009B3714">
        <w:rPr>
          <w:rFonts w:cs="Times New Roman"/>
          <w:sz w:val="22"/>
          <w:szCs w:val="22"/>
        </w:rPr>
        <w:t xml:space="preserve">nternational </w:t>
      </w:r>
      <w:r w:rsidR="00BE261E" w:rsidRPr="009B3714">
        <w:rPr>
          <w:rFonts w:cs="Times New Roman"/>
          <w:sz w:val="22"/>
          <w:szCs w:val="22"/>
        </w:rPr>
        <w:t>p</w:t>
      </w:r>
      <w:r w:rsidR="006A4ECE" w:rsidRPr="009B3714">
        <w:rPr>
          <w:rFonts w:cs="Times New Roman"/>
          <w:sz w:val="22"/>
          <w:szCs w:val="22"/>
        </w:rPr>
        <w:t xml:space="preserve">roduction: In </w:t>
      </w:r>
      <w:r w:rsidR="00BE261E" w:rsidRPr="009B3714">
        <w:rPr>
          <w:rFonts w:cs="Times New Roman"/>
          <w:sz w:val="22"/>
          <w:szCs w:val="22"/>
        </w:rPr>
        <w:t>d</w:t>
      </w:r>
      <w:r w:rsidR="006A4ECE" w:rsidRPr="009B3714">
        <w:rPr>
          <w:rFonts w:cs="Times New Roman"/>
          <w:sz w:val="22"/>
          <w:szCs w:val="22"/>
        </w:rPr>
        <w:t xml:space="preserve">efence of the </w:t>
      </w:r>
      <w:r w:rsidR="00BE261E" w:rsidRPr="009B3714">
        <w:rPr>
          <w:rFonts w:cs="Times New Roman"/>
          <w:sz w:val="22"/>
          <w:szCs w:val="22"/>
        </w:rPr>
        <w:t>e</w:t>
      </w:r>
      <w:r w:rsidR="006A4ECE" w:rsidRPr="009B3714">
        <w:rPr>
          <w:rFonts w:cs="Times New Roman"/>
          <w:sz w:val="22"/>
          <w:szCs w:val="22"/>
        </w:rPr>
        <w:t xml:space="preserve">clectic </w:t>
      </w:r>
      <w:r w:rsidR="00BE261E" w:rsidRPr="009B3714">
        <w:rPr>
          <w:rFonts w:cs="Times New Roman"/>
          <w:sz w:val="22"/>
          <w:szCs w:val="22"/>
        </w:rPr>
        <w:t>t</w:t>
      </w:r>
      <w:r w:rsidR="006A4ECE" w:rsidRPr="009B3714">
        <w:rPr>
          <w:rFonts w:cs="Times New Roman"/>
          <w:sz w:val="22"/>
          <w:szCs w:val="22"/>
        </w:rPr>
        <w:t>heory.</w:t>
      </w:r>
      <w:proofErr w:type="gramEnd"/>
      <w:r w:rsidR="006A4ECE" w:rsidRPr="009B3714">
        <w:rPr>
          <w:rFonts w:cs="Times New Roman"/>
          <w:sz w:val="22"/>
          <w:szCs w:val="22"/>
        </w:rPr>
        <w:t xml:space="preserve"> Oxford Bull</w:t>
      </w:r>
      <w:r w:rsidR="00BE261E" w:rsidRPr="009B3714">
        <w:rPr>
          <w:rFonts w:cs="Times New Roman"/>
          <w:sz w:val="22"/>
          <w:szCs w:val="22"/>
        </w:rPr>
        <w:t>eting of Economics and Statistics,</w:t>
      </w:r>
      <w:r w:rsidR="006A4ECE" w:rsidRPr="009B3714">
        <w:rPr>
          <w:rFonts w:cs="Times New Roman"/>
          <w:sz w:val="22"/>
          <w:szCs w:val="22"/>
        </w:rPr>
        <w:t xml:space="preserve"> 41 (4), 269-295. </w:t>
      </w:r>
    </w:p>
    <w:p w:rsidR="00E54B07" w:rsidRPr="009B3714" w:rsidRDefault="00E54B07" w:rsidP="00B108CE">
      <w:pPr>
        <w:rPr>
          <w:rFonts w:cs="Times New Roman"/>
          <w:sz w:val="22"/>
          <w:szCs w:val="22"/>
        </w:rPr>
      </w:pPr>
    </w:p>
    <w:p w:rsidR="006A4ECE" w:rsidRPr="009B3714" w:rsidRDefault="006A4ECE" w:rsidP="00B108CE">
      <w:pPr>
        <w:rPr>
          <w:rFonts w:cs="Times New Roman"/>
          <w:bCs/>
          <w:sz w:val="22"/>
          <w:szCs w:val="22"/>
        </w:rPr>
      </w:pPr>
      <w:r w:rsidRPr="009B3714">
        <w:rPr>
          <w:rFonts w:cs="Times New Roman"/>
          <w:sz w:val="22"/>
          <w:szCs w:val="22"/>
        </w:rPr>
        <w:t xml:space="preserve">Dunning, J. (1998). Location and the multinational enterprise: </w:t>
      </w:r>
      <w:r w:rsidR="00BE261E" w:rsidRPr="009B3714">
        <w:rPr>
          <w:rFonts w:cs="Times New Roman"/>
          <w:sz w:val="22"/>
          <w:szCs w:val="22"/>
        </w:rPr>
        <w:t>A</w:t>
      </w:r>
      <w:r w:rsidRPr="009B3714">
        <w:rPr>
          <w:rFonts w:cs="Times New Roman"/>
          <w:sz w:val="22"/>
          <w:szCs w:val="22"/>
        </w:rPr>
        <w:t xml:space="preserve"> neglected factor. </w:t>
      </w:r>
      <w:proofErr w:type="gramStart"/>
      <w:r w:rsidRPr="009B3714">
        <w:rPr>
          <w:rFonts w:cs="Times New Roman"/>
          <w:sz w:val="22"/>
          <w:szCs w:val="22"/>
        </w:rPr>
        <w:t>Journal o</w:t>
      </w:r>
      <w:r w:rsidR="00BE261E" w:rsidRPr="009B3714">
        <w:rPr>
          <w:rFonts w:cs="Times New Roman"/>
          <w:sz w:val="22"/>
          <w:szCs w:val="22"/>
        </w:rPr>
        <w:t>f International Business Studies,</w:t>
      </w:r>
      <w:r w:rsidRPr="009B3714">
        <w:rPr>
          <w:rFonts w:cs="Times New Roman"/>
          <w:sz w:val="22"/>
          <w:szCs w:val="22"/>
        </w:rPr>
        <w:t xml:space="preserve"> 29 (1), 45- 66.</w:t>
      </w:r>
      <w:proofErr w:type="gramEnd"/>
      <w:r w:rsidRPr="009B3714">
        <w:rPr>
          <w:rFonts w:cs="Times New Roman"/>
          <w:sz w:val="22"/>
          <w:szCs w:val="22"/>
        </w:rPr>
        <w:t xml:space="preserve"> </w:t>
      </w:r>
    </w:p>
    <w:p w:rsidR="006A4ECE" w:rsidRPr="009B3714" w:rsidRDefault="006A4ECE" w:rsidP="00B108CE">
      <w:pPr>
        <w:rPr>
          <w:rFonts w:cs="Times New Roman"/>
          <w:sz w:val="22"/>
          <w:szCs w:val="22"/>
        </w:rPr>
      </w:pPr>
    </w:p>
    <w:p w:rsidR="006A4ECE" w:rsidRPr="009B3714" w:rsidRDefault="006A4ECE" w:rsidP="00B108CE">
      <w:pPr>
        <w:rPr>
          <w:rFonts w:cs="Times New Roman"/>
          <w:sz w:val="22"/>
          <w:szCs w:val="22"/>
        </w:rPr>
      </w:pPr>
      <w:proofErr w:type="gramStart"/>
      <w:r w:rsidRPr="009B3714">
        <w:rPr>
          <w:rFonts w:cs="Times New Roman"/>
          <w:sz w:val="22"/>
          <w:szCs w:val="22"/>
        </w:rPr>
        <w:t>Economic Intelligence Unit.</w:t>
      </w:r>
      <w:proofErr w:type="gramEnd"/>
      <w:r w:rsidRPr="009B3714">
        <w:rPr>
          <w:rFonts w:cs="Times New Roman"/>
          <w:sz w:val="22"/>
          <w:szCs w:val="22"/>
        </w:rPr>
        <w:t xml:space="preserve"> </w:t>
      </w:r>
      <w:proofErr w:type="gramStart"/>
      <w:r w:rsidRPr="009B3714">
        <w:rPr>
          <w:rFonts w:cs="Times New Roman"/>
          <w:sz w:val="22"/>
          <w:szCs w:val="22"/>
        </w:rPr>
        <w:t>(</w:t>
      </w:r>
      <w:r w:rsidR="00552E7C" w:rsidRPr="009B3714">
        <w:rPr>
          <w:rFonts w:cs="Times New Roman"/>
          <w:sz w:val="22"/>
          <w:szCs w:val="22"/>
        </w:rPr>
        <w:t xml:space="preserve">EIU, </w:t>
      </w:r>
      <w:r w:rsidRPr="009B3714">
        <w:rPr>
          <w:rFonts w:cs="Times New Roman"/>
          <w:sz w:val="22"/>
          <w:szCs w:val="22"/>
        </w:rPr>
        <w:t>2007).</w:t>
      </w:r>
      <w:proofErr w:type="gramEnd"/>
      <w:r w:rsidRPr="009B3714">
        <w:rPr>
          <w:rFonts w:cs="Times New Roman"/>
          <w:sz w:val="22"/>
          <w:szCs w:val="22"/>
        </w:rPr>
        <w:t xml:space="preserve"> World </w:t>
      </w:r>
      <w:r w:rsidR="006C3C7E" w:rsidRPr="009B3714">
        <w:rPr>
          <w:rFonts w:cs="Times New Roman"/>
          <w:sz w:val="22"/>
          <w:szCs w:val="22"/>
        </w:rPr>
        <w:t>i</w:t>
      </w:r>
      <w:r w:rsidRPr="009B3714">
        <w:rPr>
          <w:rFonts w:cs="Times New Roman"/>
          <w:sz w:val="22"/>
          <w:szCs w:val="22"/>
        </w:rPr>
        <w:t xml:space="preserve">nvestment </w:t>
      </w:r>
      <w:r w:rsidR="006C3C7E" w:rsidRPr="009B3714">
        <w:rPr>
          <w:rFonts w:cs="Times New Roman"/>
          <w:sz w:val="22"/>
          <w:szCs w:val="22"/>
        </w:rPr>
        <w:t>p</w:t>
      </w:r>
      <w:r w:rsidRPr="009B3714">
        <w:rPr>
          <w:rFonts w:cs="Times New Roman"/>
          <w:sz w:val="22"/>
          <w:szCs w:val="22"/>
        </w:rPr>
        <w:t xml:space="preserve">rospect to 2011: FDI and the </w:t>
      </w:r>
      <w:r w:rsidR="006C3C7E" w:rsidRPr="009B3714">
        <w:rPr>
          <w:rFonts w:cs="Times New Roman"/>
          <w:sz w:val="22"/>
          <w:szCs w:val="22"/>
        </w:rPr>
        <w:t>c</w:t>
      </w:r>
      <w:r w:rsidRPr="009B3714">
        <w:rPr>
          <w:rFonts w:cs="Times New Roman"/>
          <w:sz w:val="22"/>
          <w:szCs w:val="22"/>
        </w:rPr>
        <w:t xml:space="preserve">hallenge of </w:t>
      </w:r>
      <w:r w:rsidR="006C3C7E" w:rsidRPr="009B3714">
        <w:rPr>
          <w:rFonts w:cs="Times New Roman"/>
          <w:sz w:val="22"/>
          <w:szCs w:val="22"/>
        </w:rPr>
        <w:t>p</w:t>
      </w:r>
      <w:r w:rsidRPr="009B3714">
        <w:rPr>
          <w:rFonts w:cs="Times New Roman"/>
          <w:sz w:val="22"/>
          <w:szCs w:val="22"/>
        </w:rPr>
        <w:t xml:space="preserve">olitical </w:t>
      </w:r>
      <w:r w:rsidR="006C3C7E" w:rsidRPr="009B3714">
        <w:rPr>
          <w:rFonts w:cs="Times New Roman"/>
          <w:sz w:val="22"/>
          <w:szCs w:val="22"/>
        </w:rPr>
        <w:t>r</w:t>
      </w:r>
      <w:r w:rsidRPr="009B3714">
        <w:rPr>
          <w:rFonts w:cs="Times New Roman"/>
          <w:sz w:val="22"/>
          <w:szCs w:val="22"/>
        </w:rPr>
        <w:t xml:space="preserve">isk.  </w:t>
      </w:r>
    </w:p>
    <w:p w:rsidR="00F6582A" w:rsidRPr="009B3714" w:rsidRDefault="00F6582A" w:rsidP="00B108CE">
      <w:pPr>
        <w:rPr>
          <w:rFonts w:cs="Times New Roman"/>
          <w:bCs/>
          <w:sz w:val="22"/>
          <w:szCs w:val="22"/>
        </w:rPr>
      </w:pPr>
    </w:p>
    <w:p w:rsidR="006A4ECE" w:rsidRPr="009B3714" w:rsidRDefault="009E26D1" w:rsidP="009E26D1">
      <w:pPr>
        <w:rPr>
          <w:rFonts w:cs="Times New Roman"/>
          <w:sz w:val="22"/>
          <w:szCs w:val="22"/>
        </w:rPr>
      </w:pPr>
      <w:proofErr w:type="spellStart"/>
      <w:proofErr w:type="gramStart"/>
      <w:r w:rsidRPr="009B3714">
        <w:rPr>
          <w:rFonts w:cs="Times New Roman"/>
          <w:sz w:val="22"/>
          <w:szCs w:val="22"/>
        </w:rPr>
        <w:t>Freckleton</w:t>
      </w:r>
      <w:proofErr w:type="spellEnd"/>
      <w:r w:rsidRPr="009B3714">
        <w:rPr>
          <w:rFonts w:cs="Times New Roman"/>
          <w:sz w:val="22"/>
          <w:szCs w:val="22"/>
        </w:rPr>
        <w:t xml:space="preserve">, M., Wright, A., and </w:t>
      </w:r>
      <w:proofErr w:type="spellStart"/>
      <w:r w:rsidRPr="009B3714">
        <w:rPr>
          <w:rFonts w:cs="Times New Roman"/>
          <w:sz w:val="22"/>
          <w:szCs w:val="22"/>
        </w:rPr>
        <w:t>Craigwell</w:t>
      </w:r>
      <w:proofErr w:type="spellEnd"/>
      <w:r w:rsidRPr="009B3714">
        <w:rPr>
          <w:rFonts w:cs="Times New Roman"/>
          <w:sz w:val="22"/>
          <w:szCs w:val="22"/>
        </w:rPr>
        <w:t>, R. (2012).</w:t>
      </w:r>
      <w:proofErr w:type="gramEnd"/>
      <w:r w:rsidRPr="009B3714">
        <w:rPr>
          <w:rFonts w:cs="Times New Roman"/>
          <w:sz w:val="22"/>
          <w:szCs w:val="22"/>
        </w:rPr>
        <w:t xml:space="preserve"> </w:t>
      </w:r>
      <w:proofErr w:type="gramStart"/>
      <w:r w:rsidRPr="009B3714">
        <w:rPr>
          <w:rFonts w:cs="Times New Roman"/>
          <w:sz w:val="22"/>
          <w:szCs w:val="22"/>
        </w:rPr>
        <w:t>Economic growth, foreign direct investment and corruption in developed and developing countries.</w:t>
      </w:r>
      <w:proofErr w:type="gramEnd"/>
      <w:r w:rsidRPr="009B3714">
        <w:rPr>
          <w:rFonts w:cs="Times New Roman"/>
          <w:sz w:val="22"/>
          <w:szCs w:val="22"/>
        </w:rPr>
        <w:t xml:space="preserve"> Journal of Economic Studies</w:t>
      </w:r>
      <w:r w:rsidR="00F6582A" w:rsidRPr="009B3714">
        <w:rPr>
          <w:rFonts w:cs="Times New Roman"/>
          <w:sz w:val="22"/>
          <w:szCs w:val="22"/>
        </w:rPr>
        <w:t>, 39 (</w:t>
      </w:r>
      <w:r w:rsidRPr="009B3714">
        <w:rPr>
          <w:rFonts w:cs="Times New Roman"/>
          <w:sz w:val="22"/>
          <w:szCs w:val="22"/>
        </w:rPr>
        <w:t>6</w:t>
      </w:r>
      <w:r w:rsidR="00F6582A" w:rsidRPr="009B3714">
        <w:rPr>
          <w:rFonts w:cs="Times New Roman"/>
          <w:sz w:val="22"/>
          <w:szCs w:val="22"/>
        </w:rPr>
        <w:t xml:space="preserve">), </w:t>
      </w:r>
      <w:r w:rsidRPr="009B3714">
        <w:rPr>
          <w:rFonts w:cs="Times New Roman"/>
          <w:sz w:val="22"/>
          <w:szCs w:val="22"/>
        </w:rPr>
        <w:t>639-652</w:t>
      </w:r>
      <w:r w:rsidR="00F6582A" w:rsidRPr="009B3714">
        <w:rPr>
          <w:rFonts w:cs="Times New Roman"/>
          <w:sz w:val="22"/>
          <w:szCs w:val="22"/>
        </w:rPr>
        <w:t>.</w:t>
      </w:r>
    </w:p>
    <w:p w:rsidR="00F6582A" w:rsidRPr="009B3714" w:rsidRDefault="00F6582A" w:rsidP="009E26D1">
      <w:pPr>
        <w:rPr>
          <w:rFonts w:cs="Times New Roman"/>
          <w:sz w:val="22"/>
          <w:szCs w:val="22"/>
        </w:rPr>
      </w:pPr>
    </w:p>
    <w:p w:rsidR="002E27B1" w:rsidRPr="009B3714" w:rsidRDefault="002E27B1" w:rsidP="00423F63">
      <w:pPr>
        <w:rPr>
          <w:rFonts w:cs="Times New Roman"/>
          <w:sz w:val="22"/>
          <w:szCs w:val="22"/>
        </w:rPr>
      </w:pPr>
      <w:proofErr w:type="gramStart"/>
      <w:r w:rsidRPr="009B3714">
        <w:rPr>
          <w:rFonts w:cs="Times New Roman"/>
          <w:sz w:val="22"/>
          <w:szCs w:val="22"/>
        </w:rPr>
        <w:t xml:space="preserve">Frynas, J.G. and </w:t>
      </w:r>
      <w:proofErr w:type="spellStart"/>
      <w:r w:rsidRPr="009B3714">
        <w:rPr>
          <w:rFonts w:cs="Times New Roman"/>
          <w:sz w:val="22"/>
          <w:szCs w:val="22"/>
        </w:rPr>
        <w:t>Mellali</w:t>
      </w:r>
      <w:proofErr w:type="spellEnd"/>
      <w:r w:rsidRPr="009B3714">
        <w:rPr>
          <w:rFonts w:cs="Times New Roman"/>
          <w:sz w:val="22"/>
          <w:szCs w:val="22"/>
        </w:rPr>
        <w:t>, K. (20</w:t>
      </w:r>
      <w:r w:rsidR="00423F63">
        <w:rPr>
          <w:rFonts w:cs="Times New Roman"/>
          <w:sz w:val="22"/>
          <w:szCs w:val="22"/>
        </w:rPr>
        <w:t>03</w:t>
      </w:r>
      <w:r w:rsidRPr="009B3714">
        <w:rPr>
          <w:rFonts w:cs="Times New Roman"/>
          <w:sz w:val="22"/>
          <w:szCs w:val="22"/>
        </w:rPr>
        <w:t>).</w:t>
      </w:r>
      <w:proofErr w:type="gramEnd"/>
      <w:r w:rsidRPr="009B3714">
        <w:rPr>
          <w:rFonts w:cs="Times New Roman"/>
          <w:sz w:val="22"/>
          <w:szCs w:val="22"/>
        </w:rPr>
        <w:t xml:space="preserve"> Political risks as firm-specific (dis)advantages: Evidence on transnational oil firms in Nigeria. </w:t>
      </w:r>
      <w:r w:rsidRPr="009B3714">
        <w:rPr>
          <w:rFonts w:cs="Times New Roman"/>
          <w:sz w:val="22"/>
          <w:szCs w:val="22"/>
          <w:lang w:val="en-US"/>
        </w:rPr>
        <w:t>Thunderbird International Business Review,</w:t>
      </w:r>
      <w:r w:rsidRPr="009B3714">
        <w:rPr>
          <w:rFonts w:cs="Times New Roman"/>
          <w:sz w:val="22"/>
          <w:szCs w:val="22"/>
        </w:rPr>
        <w:t xml:space="preserve"> 45(5), 541-565. </w:t>
      </w:r>
    </w:p>
    <w:p w:rsidR="002E27B1" w:rsidRPr="009B3714" w:rsidRDefault="002E27B1" w:rsidP="009E26D1">
      <w:pPr>
        <w:rPr>
          <w:rFonts w:cs="Times New Roman"/>
          <w:sz w:val="22"/>
          <w:szCs w:val="22"/>
        </w:rPr>
      </w:pPr>
    </w:p>
    <w:p w:rsidR="00E54B07" w:rsidRPr="009B3714" w:rsidRDefault="006A4ECE" w:rsidP="00B108CE">
      <w:pPr>
        <w:rPr>
          <w:rFonts w:cs="Times New Roman"/>
          <w:sz w:val="22"/>
          <w:szCs w:val="22"/>
        </w:rPr>
      </w:pPr>
      <w:proofErr w:type="gramStart"/>
      <w:r w:rsidRPr="009B3714">
        <w:rPr>
          <w:rFonts w:cs="Times New Roman"/>
          <w:sz w:val="22"/>
          <w:szCs w:val="22"/>
        </w:rPr>
        <w:t xml:space="preserve">Hayakawa, K., Kimura, F. </w:t>
      </w:r>
      <w:r w:rsidR="00E561F9" w:rsidRPr="009B3714">
        <w:rPr>
          <w:rFonts w:cs="Times New Roman"/>
          <w:sz w:val="22"/>
          <w:szCs w:val="22"/>
        </w:rPr>
        <w:t>&amp;</w:t>
      </w:r>
      <w:r w:rsidRPr="009B3714">
        <w:rPr>
          <w:rFonts w:cs="Times New Roman"/>
          <w:sz w:val="22"/>
          <w:szCs w:val="22"/>
        </w:rPr>
        <w:t xml:space="preserve"> Lee, H. (2011).</w:t>
      </w:r>
      <w:proofErr w:type="gramEnd"/>
      <w:r w:rsidRPr="009B3714">
        <w:rPr>
          <w:rFonts w:cs="Times New Roman"/>
          <w:sz w:val="22"/>
          <w:szCs w:val="22"/>
        </w:rPr>
        <w:t xml:space="preserve"> How does </w:t>
      </w:r>
      <w:r w:rsidR="00E561F9" w:rsidRPr="009B3714">
        <w:rPr>
          <w:rFonts w:cs="Times New Roman"/>
          <w:sz w:val="22"/>
          <w:szCs w:val="22"/>
        </w:rPr>
        <w:t>c</w:t>
      </w:r>
      <w:r w:rsidRPr="009B3714">
        <w:rPr>
          <w:rFonts w:cs="Times New Roman"/>
          <w:sz w:val="22"/>
          <w:szCs w:val="22"/>
        </w:rPr>
        <w:t xml:space="preserve">ountry </w:t>
      </w:r>
      <w:r w:rsidR="00E561F9" w:rsidRPr="009B3714">
        <w:rPr>
          <w:rFonts w:cs="Times New Roman"/>
          <w:sz w:val="22"/>
          <w:szCs w:val="22"/>
        </w:rPr>
        <w:t>r</w:t>
      </w:r>
      <w:r w:rsidRPr="009B3714">
        <w:rPr>
          <w:rFonts w:cs="Times New Roman"/>
          <w:sz w:val="22"/>
          <w:szCs w:val="22"/>
        </w:rPr>
        <w:t xml:space="preserve">isk </w:t>
      </w:r>
      <w:r w:rsidR="00E561F9" w:rsidRPr="009B3714">
        <w:rPr>
          <w:rFonts w:cs="Times New Roman"/>
          <w:sz w:val="22"/>
          <w:szCs w:val="22"/>
        </w:rPr>
        <w:t>m</w:t>
      </w:r>
      <w:r w:rsidRPr="009B3714">
        <w:rPr>
          <w:rFonts w:cs="Times New Roman"/>
          <w:sz w:val="22"/>
          <w:szCs w:val="22"/>
        </w:rPr>
        <w:t xml:space="preserve">atter for FDI? </w:t>
      </w:r>
      <w:proofErr w:type="gramStart"/>
      <w:r w:rsidRPr="009B3714">
        <w:rPr>
          <w:rFonts w:cs="Times New Roman"/>
          <w:sz w:val="22"/>
          <w:szCs w:val="22"/>
        </w:rPr>
        <w:t>Institute of Development Economies</w:t>
      </w:r>
      <w:r w:rsidRPr="009B3714">
        <w:rPr>
          <w:rFonts w:cs="Times New Roman"/>
          <w:i/>
          <w:sz w:val="22"/>
          <w:szCs w:val="22"/>
        </w:rPr>
        <w:t>.</w:t>
      </w:r>
      <w:proofErr w:type="gramEnd"/>
      <w:r w:rsidRPr="009B3714">
        <w:rPr>
          <w:rFonts w:cs="Times New Roman"/>
          <w:sz w:val="22"/>
          <w:szCs w:val="22"/>
        </w:rPr>
        <w:t xml:space="preserve"> Paper No. 281.</w:t>
      </w:r>
    </w:p>
    <w:p w:rsidR="009B3714" w:rsidRPr="009B3714" w:rsidRDefault="009B3714" w:rsidP="00B108CE">
      <w:pPr>
        <w:rPr>
          <w:rFonts w:cs="Times New Roman"/>
          <w:sz w:val="22"/>
          <w:szCs w:val="22"/>
        </w:rPr>
      </w:pPr>
    </w:p>
    <w:p w:rsidR="00B61AA6" w:rsidRPr="009B3714" w:rsidRDefault="009B3714" w:rsidP="009B3714">
      <w:pPr>
        <w:rPr>
          <w:rFonts w:cs="Times New Roman"/>
          <w:sz w:val="22"/>
          <w:szCs w:val="22"/>
        </w:rPr>
      </w:pPr>
      <w:r w:rsidRPr="009B3714">
        <w:rPr>
          <w:rFonts w:cs="Times New Roman"/>
          <w:sz w:val="22"/>
          <w:szCs w:val="22"/>
        </w:rPr>
        <w:t xml:space="preserve">Howell, Llewellyn D., (2007) Country and Political Risk Assessment for Managers, in Howell, Llewellyn D. (ed.) </w:t>
      </w:r>
      <w:proofErr w:type="gramStart"/>
      <w:r w:rsidRPr="009B3714">
        <w:rPr>
          <w:rFonts w:cs="Times New Roman"/>
          <w:sz w:val="22"/>
          <w:szCs w:val="22"/>
        </w:rPr>
        <w:t>The</w:t>
      </w:r>
      <w:proofErr w:type="gramEnd"/>
      <w:r w:rsidRPr="009B3714">
        <w:rPr>
          <w:rFonts w:cs="Times New Roman"/>
          <w:sz w:val="22"/>
          <w:szCs w:val="22"/>
        </w:rPr>
        <w:t xml:space="preserve"> Handbook of Country and Political Risk Analysis (4th Edition) The PRS Group, Inc.</w:t>
      </w:r>
    </w:p>
    <w:p w:rsidR="009B3714" w:rsidRPr="009B3714" w:rsidRDefault="009B3714" w:rsidP="009B3714">
      <w:pPr>
        <w:rPr>
          <w:rFonts w:cs="Times New Roman"/>
          <w:sz w:val="22"/>
          <w:szCs w:val="22"/>
        </w:rPr>
      </w:pPr>
    </w:p>
    <w:p w:rsidR="006A4ECE" w:rsidRPr="009B3714" w:rsidRDefault="006A4ECE" w:rsidP="00B108CE">
      <w:pPr>
        <w:rPr>
          <w:rFonts w:cs="Times New Roman"/>
          <w:sz w:val="22"/>
          <w:szCs w:val="22"/>
        </w:rPr>
      </w:pPr>
      <w:proofErr w:type="spellStart"/>
      <w:r w:rsidRPr="009B3714">
        <w:rPr>
          <w:rFonts w:cs="Times New Roman"/>
          <w:sz w:val="22"/>
          <w:szCs w:val="22"/>
        </w:rPr>
        <w:t>Jadhav</w:t>
      </w:r>
      <w:proofErr w:type="spellEnd"/>
      <w:r w:rsidRPr="009B3714">
        <w:rPr>
          <w:rFonts w:cs="Times New Roman"/>
          <w:sz w:val="22"/>
          <w:szCs w:val="22"/>
        </w:rPr>
        <w:t xml:space="preserve">, P. (2012). Determinants of foreign direct investment in BRICS economies: Analysis of economic, institutional and political factor. </w:t>
      </w:r>
      <w:proofErr w:type="gramStart"/>
      <w:r w:rsidRPr="009B3714">
        <w:rPr>
          <w:rFonts w:cs="Times New Roman"/>
          <w:sz w:val="22"/>
          <w:szCs w:val="22"/>
        </w:rPr>
        <w:t xml:space="preserve">Procedia - Social and </w:t>
      </w:r>
      <w:proofErr w:type="spellStart"/>
      <w:r w:rsidRPr="009B3714">
        <w:rPr>
          <w:rFonts w:cs="Times New Roman"/>
          <w:sz w:val="22"/>
          <w:szCs w:val="22"/>
        </w:rPr>
        <w:t>Behavioral</w:t>
      </w:r>
      <w:proofErr w:type="spellEnd"/>
      <w:r w:rsidRPr="009B3714">
        <w:rPr>
          <w:rFonts w:cs="Times New Roman"/>
          <w:sz w:val="22"/>
          <w:szCs w:val="22"/>
        </w:rPr>
        <w:t xml:space="preserve"> Sciences.</w:t>
      </w:r>
      <w:proofErr w:type="gramEnd"/>
      <w:r w:rsidRPr="009B3714">
        <w:rPr>
          <w:rFonts w:cs="Times New Roman"/>
          <w:sz w:val="22"/>
          <w:szCs w:val="22"/>
        </w:rPr>
        <w:t xml:space="preserve"> 37, 5-14. </w:t>
      </w:r>
    </w:p>
    <w:p w:rsidR="00F70DCF" w:rsidRPr="009B3714" w:rsidRDefault="00F70DCF" w:rsidP="00B108CE">
      <w:pPr>
        <w:rPr>
          <w:rFonts w:cs="Times New Roman"/>
          <w:sz w:val="22"/>
          <w:szCs w:val="22"/>
        </w:rPr>
      </w:pPr>
    </w:p>
    <w:p w:rsidR="00E54B07" w:rsidRPr="009B3714" w:rsidRDefault="00F70DCF" w:rsidP="00B108CE">
      <w:pPr>
        <w:rPr>
          <w:rFonts w:cs="Times New Roman"/>
          <w:sz w:val="22"/>
          <w:szCs w:val="22"/>
        </w:rPr>
      </w:pPr>
      <w:proofErr w:type="spellStart"/>
      <w:r w:rsidRPr="009B3714">
        <w:rPr>
          <w:rFonts w:cs="Times New Roman"/>
          <w:sz w:val="22"/>
          <w:szCs w:val="22"/>
        </w:rPr>
        <w:t>Janeba</w:t>
      </w:r>
      <w:proofErr w:type="spellEnd"/>
      <w:r w:rsidRPr="009B3714">
        <w:rPr>
          <w:rFonts w:cs="Times New Roman"/>
          <w:sz w:val="22"/>
          <w:szCs w:val="22"/>
        </w:rPr>
        <w:t>, E. (2002), Attracting F</w:t>
      </w:r>
      <w:r w:rsidR="00E561F9" w:rsidRPr="009B3714">
        <w:rPr>
          <w:rFonts w:cs="Times New Roman"/>
          <w:sz w:val="22"/>
          <w:szCs w:val="22"/>
        </w:rPr>
        <w:t>DI in a Politically Risky World.</w:t>
      </w:r>
      <w:r w:rsidRPr="009B3714">
        <w:rPr>
          <w:rFonts w:cs="Times New Roman"/>
          <w:sz w:val="22"/>
          <w:szCs w:val="22"/>
        </w:rPr>
        <w:t xml:space="preserve"> International Economic Review</w:t>
      </w:r>
      <w:r w:rsidR="00E561F9" w:rsidRPr="009B3714">
        <w:rPr>
          <w:rFonts w:cs="Times New Roman"/>
          <w:sz w:val="22"/>
          <w:szCs w:val="22"/>
        </w:rPr>
        <w:t xml:space="preserve"> 43(4), 1127-1155.</w:t>
      </w:r>
    </w:p>
    <w:p w:rsidR="00E561F9" w:rsidRPr="009B3714" w:rsidRDefault="00E561F9" w:rsidP="00B108CE">
      <w:pPr>
        <w:rPr>
          <w:rFonts w:cs="Times New Roman"/>
          <w:sz w:val="22"/>
          <w:szCs w:val="22"/>
        </w:rPr>
      </w:pPr>
    </w:p>
    <w:p w:rsidR="006A4ECE" w:rsidRPr="009B3714" w:rsidRDefault="006A4ECE" w:rsidP="00B108CE">
      <w:pPr>
        <w:rPr>
          <w:rFonts w:cs="Times New Roman"/>
          <w:sz w:val="22"/>
          <w:szCs w:val="22"/>
        </w:rPr>
      </w:pPr>
      <w:r w:rsidRPr="009B3714">
        <w:rPr>
          <w:rFonts w:cs="Times New Roman"/>
          <w:sz w:val="22"/>
          <w:szCs w:val="22"/>
        </w:rPr>
        <w:t xml:space="preserve">Jensen, N. (2008). </w:t>
      </w:r>
      <w:proofErr w:type="gramStart"/>
      <w:r w:rsidRPr="009B3714">
        <w:rPr>
          <w:rFonts w:cs="Times New Roman"/>
          <w:sz w:val="22"/>
          <w:szCs w:val="22"/>
        </w:rPr>
        <w:t>Political Risk, Democratic Institutions, and Foreign Direct Investment.</w:t>
      </w:r>
      <w:proofErr w:type="gramEnd"/>
      <w:r w:rsidRPr="009B3714">
        <w:rPr>
          <w:rFonts w:cs="Times New Roman"/>
          <w:sz w:val="22"/>
          <w:szCs w:val="22"/>
        </w:rPr>
        <w:t xml:space="preserve"> </w:t>
      </w:r>
      <w:proofErr w:type="gramStart"/>
      <w:r w:rsidRPr="009B3714">
        <w:rPr>
          <w:rFonts w:cs="Times New Roman"/>
          <w:iCs/>
          <w:sz w:val="22"/>
          <w:szCs w:val="22"/>
        </w:rPr>
        <w:t>Journal of Politics</w:t>
      </w:r>
      <w:r w:rsidRPr="009B3714">
        <w:rPr>
          <w:rFonts w:cs="Times New Roman"/>
          <w:i/>
          <w:iCs/>
          <w:sz w:val="22"/>
          <w:szCs w:val="22"/>
        </w:rPr>
        <w:t>.</w:t>
      </w:r>
      <w:proofErr w:type="gramEnd"/>
      <w:r w:rsidR="00E561F9" w:rsidRPr="009B3714">
        <w:rPr>
          <w:rFonts w:cs="Times New Roman"/>
          <w:sz w:val="22"/>
          <w:szCs w:val="22"/>
        </w:rPr>
        <w:t xml:space="preserve"> 70 (4), 1040-1052.</w:t>
      </w:r>
    </w:p>
    <w:p w:rsidR="006A4ECE" w:rsidRPr="009B3714" w:rsidRDefault="006A4ECE" w:rsidP="00B108CE">
      <w:pPr>
        <w:rPr>
          <w:rFonts w:cs="Times New Roman"/>
          <w:sz w:val="22"/>
          <w:szCs w:val="22"/>
        </w:rPr>
      </w:pPr>
    </w:p>
    <w:p w:rsidR="006A4ECE" w:rsidRPr="009B3714" w:rsidRDefault="006A4ECE" w:rsidP="00B108CE">
      <w:pPr>
        <w:rPr>
          <w:rFonts w:cs="Times New Roman"/>
          <w:bCs/>
          <w:sz w:val="22"/>
          <w:szCs w:val="22"/>
        </w:rPr>
      </w:pPr>
      <w:proofErr w:type="spellStart"/>
      <w:proofErr w:type="gramStart"/>
      <w:r w:rsidRPr="009B3714">
        <w:rPr>
          <w:rFonts w:cs="Times New Roman"/>
          <w:sz w:val="22"/>
          <w:szCs w:val="22"/>
        </w:rPr>
        <w:t>Johan</w:t>
      </w:r>
      <w:r w:rsidR="00E54B07" w:rsidRPr="009B3714">
        <w:rPr>
          <w:rFonts w:cs="Times New Roman"/>
          <w:sz w:val="22"/>
          <w:szCs w:val="22"/>
        </w:rPr>
        <w:t>son</w:t>
      </w:r>
      <w:proofErr w:type="spellEnd"/>
      <w:r w:rsidR="00E54B07" w:rsidRPr="009B3714">
        <w:rPr>
          <w:rFonts w:cs="Times New Roman"/>
          <w:sz w:val="22"/>
          <w:szCs w:val="22"/>
        </w:rPr>
        <w:t xml:space="preserve">, J. </w:t>
      </w:r>
      <w:r w:rsidR="00E561F9" w:rsidRPr="009B3714">
        <w:rPr>
          <w:rFonts w:cs="Times New Roman"/>
          <w:sz w:val="22"/>
          <w:szCs w:val="22"/>
        </w:rPr>
        <w:t>&amp;</w:t>
      </w:r>
      <w:r w:rsidR="00E54B07" w:rsidRPr="009B3714">
        <w:rPr>
          <w:rFonts w:cs="Times New Roman"/>
          <w:sz w:val="22"/>
          <w:szCs w:val="22"/>
        </w:rPr>
        <w:t xml:space="preserve"> </w:t>
      </w:r>
      <w:proofErr w:type="spellStart"/>
      <w:r w:rsidR="00E54B07" w:rsidRPr="009B3714">
        <w:rPr>
          <w:rFonts w:cs="Times New Roman"/>
          <w:sz w:val="22"/>
          <w:szCs w:val="22"/>
        </w:rPr>
        <w:t>Vahlne</w:t>
      </w:r>
      <w:proofErr w:type="spellEnd"/>
      <w:r w:rsidR="00E54B07" w:rsidRPr="009B3714">
        <w:rPr>
          <w:rFonts w:cs="Times New Roman"/>
          <w:sz w:val="22"/>
          <w:szCs w:val="22"/>
        </w:rPr>
        <w:t>, J. (1977).</w:t>
      </w:r>
      <w:proofErr w:type="gramEnd"/>
      <w:r w:rsidR="00E54B07" w:rsidRPr="009B3714">
        <w:rPr>
          <w:rFonts w:cs="Times New Roman"/>
          <w:sz w:val="22"/>
          <w:szCs w:val="22"/>
        </w:rPr>
        <w:t xml:space="preserve"> </w:t>
      </w:r>
      <w:r w:rsidRPr="009B3714">
        <w:rPr>
          <w:rFonts w:cs="Times New Roman"/>
          <w:sz w:val="22"/>
          <w:szCs w:val="22"/>
        </w:rPr>
        <w:t>The internationalisation process of the firm: A model of knowledge development and incre</w:t>
      </w:r>
      <w:r w:rsidR="00E54B07" w:rsidRPr="009B3714">
        <w:rPr>
          <w:rFonts w:cs="Times New Roman"/>
          <w:sz w:val="22"/>
          <w:szCs w:val="22"/>
        </w:rPr>
        <w:t>asing foreign market commitment</w:t>
      </w:r>
      <w:r w:rsidRPr="009B3714">
        <w:rPr>
          <w:rFonts w:cs="Times New Roman"/>
          <w:sz w:val="22"/>
          <w:szCs w:val="22"/>
        </w:rPr>
        <w:t xml:space="preserve">. </w:t>
      </w:r>
      <w:proofErr w:type="gramStart"/>
      <w:r w:rsidRPr="009B3714">
        <w:rPr>
          <w:rFonts w:cs="Times New Roman"/>
          <w:bCs/>
          <w:sz w:val="22"/>
          <w:szCs w:val="22"/>
        </w:rPr>
        <w:t>Journal of International Business Studies</w:t>
      </w:r>
      <w:r w:rsidRPr="009B3714">
        <w:rPr>
          <w:rFonts w:cs="Times New Roman"/>
          <w:bCs/>
          <w:i/>
          <w:sz w:val="22"/>
          <w:szCs w:val="22"/>
        </w:rPr>
        <w:t>.</w:t>
      </w:r>
      <w:proofErr w:type="gramEnd"/>
      <w:r w:rsidRPr="009B3714">
        <w:rPr>
          <w:rFonts w:cs="Times New Roman"/>
          <w:sz w:val="22"/>
          <w:szCs w:val="22"/>
        </w:rPr>
        <w:t xml:space="preserve"> </w:t>
      </w:r>
      <w:proofErr w:type="gramStart"/>
      <w:r w:rsidRPr="009B3714">
        <w:rPr>
          <w:rFonts w:cs="Times New Roman"/>
          <w:sz w:val="22"/>
          <w:szCs w:val="22"/>
        </w:rPr>
        <w:t>8 (1), 23- 32.</w:t>
      </w:r>
      <w:proofErr w:type="gramEnd"/>
      <w:r w:rsidRPr="009B3714">
        <w:rPr>
          <w:rFonts w:cs="Times New Roman"/>
          <w:sz w:val="22"/>
          <w:szCs w:val="22"/>
        </w:rPr>
        <w:t xml:space="preserve"> </w:t>
      </w:r>
    </w:p>
    <w:p w:rsidR="006A4ECE" w:rsidRPr="009B3714" w:rsidRDefault="006A4ECE" w:rsidP="00B108CE">
      <w:pPr>
        <w:rPr>
          <w:rFonts w:cs="Times New Roman"/>
          <w:sz w:val="22"/>
          <w:szCs w:val="22"/>
        </w:rPr>
      </w:pPr>
    </w:p>
    <w:p w:rsidR="00DE065B" w:rsidRDefault="00DE065B" w:rsidP="00DE065B">
      <w:pPr>
        <w:rPr>
          <w:rFonts w:cs="Times New Roman"/>
          <w:sz w:val="22"/>
          <w:szCs w:val="22"/>
          <w:lang w:val="en-US"/>
        </w:rPr>
      </w:pPr>
      <w:proofErr w:type="spellStart"/>
      <w:proofErr w:type="gramStart"/>
      <w:r w:rsidRPr="009B3714">
        <w:rPr>
          <w:rFonts w:cs="Times New Roman"/>
          <w:sz w:val="22"/>
          <w:szCs w:val="22"/>
        </w:rPr>
        <w:t>Krifa</w:t>
      </w:r>
      <w:proofErr w:type="spellEnd"/>
      <w:r w:rsidRPr="009B3714">
        <w:rPr>
          <w:rFonts w:cs="Times New Roman"/>
          <w:sz w:val="22"/>
          <w:szCs w:val="22"/>
        </w:rPr>
        <w:t xml:space="preserve">-Schneider, H., &amp; </w:t>
      </w:r>
      <w:proofErr w:type="spellStart"/>
      <w:r w:rsidRPr="009B3714">
        <w:rPr>
          <w:rFonts w:cs="Times New Roman"/>
          <w:sz w:val="22"/>
          <w:szCs w:val="22"/>
        </w:rPr>
        <w:t>Matei</w:t>
      </w:r>
      <w:proofErr w:type="spellEnd"/>
      <w:r w:rsidRPr="009B3714">
        <w:rPr>
          <w:rFonts w:cs="Times New Roman"/>
          <w:sz w:val="22"/>
          <w:szCs w:val="22"/>
        </w:rPr>
        <w:t>, I. (2010).</w:t>
      </w:r>
      <w:proofErr w:type="gramEnd"/>
      <w:r w:rsidRPr="009B3714">
        <w:rPr>
          <w:rFonts w:cs="Times New Roman"/>
          <w:sz w:val="22"/>
          <w:szCs w:val="22"/>
        </w:rPr>
        <w:t xml:space="preserve"> </w:t>
      </w:r>
      <w:r w:rsidRPr="009B3714">
        <w:rPr>
          <w:rFonts w:cs="Times New Roman"/>
          <w:sz w:val="22"/>
          <w:szCs w:val="22"/>
          <w:lang w:val="en-US"/>
        </w:rPr>
        <w:t xml:space="preserve">Business climate, political risk and FDI in developing countries: Evidence from panel data. </w:t>
      </w:r>
      <w:r w:rsidRPr="009B3714">
        <w:rPr>
          <w:rFonts w:cs="Times New Roman"/>
          <w:iCs/>
          <w:sz w:val="22"/>
          <w:szCs w:val="22"/>
          <w:lang w:val="en-US"/>
        </w:rPr>
        <w:t>International Journal of Economics and Finance</w:t>
      </w:r>
      <w:r w:rsidRPr="009B3714">
        <w:rPr>
          <w:rFonts w:cs="Times New Roman"/>
          <w:sz w:val="22"/>
          <w:szCs w:val="22"/>
          <w:lang w:val="en-US"/>
        </w:rPr>
        <w:t>, 2 (5), 54-65.</w:t>
      </w:r>
    </w:p>
    <w:p w:rsidR="00B31A13" w:rsidRDefault="00B31A13" w:rsidP="00DE065B">
      <w:pPr>
        <w:rPr>
          <w:rFonts w:cs="Times New Roman"/>
          <w:sz w:val="22"/>
          <w:szCs w:val="22"/>
          <w:lang w:val="en-US"/>
        </w:rPr>
      </w:pPr>
    </w:p>
    <w:p w:rsidR="00B31A13" w:rsidRPr="00B31A13" w:rsidRDefault="00B31A13" w:rsidP="00B31A13">
      <w:pPr>
        <w:rPr>
          <w:rFonts w:cs="Times New Roman"/>
          <w:sz w:val="22"/>
          <w:szCs w:val="22"/>
          <w:lang w:val="en-US"/>
        </w:rPr>
      </w:pPr>
      <w:r>
        <w:rPr>
          <w:rFonts w:cs="Times New Roman"/>
          <w:sz w:val="22"/>
          <w:szCs w:val="22"/>
          <w:lang w:val="en-US"/>
        </w:rPr>
        <w:t xml:space="preserve">Kwok, C.C.Y &amp; </w:t>
      </w:r>
      <w:proofErr w:type="spellStart"/>
      <w:r>
        <w:rPr>
          <w:rFonts w:cs="Times New Roman"/>
          <w:sz w:val="22"/>
          <w:szCs w:val="22"/>
          <w:lang w:val="en-US"/>
        </w:rPr>
        <w:t>Tadesse</w:t>
      </w:r>
      <w:proofErr w:type="spellEnd"/>
      <w:r>
        <w:rPr>
          <w:rFonts w:cs="Times New Roman"/>
          <w:sz w:val="22"/>
          <w:szCs w:val="22"/>
          <w:lang w:val="en-US"/>
        </w:rPr>
        <w:t xml:space="preserve">, S. (2006). </w:t>
      </w:r>
      <w:r w:rsidRPr="00B31A13">
        <w:rPr>
          <w:rFonts w:cs="Times New Roman"/>
          <w:sz w:val="22"/>
          <w:szCs w:val="22"/>
        </w:rPr>
        <w:t>The MNC as an agent of change for host-country institutions: FDI and corruption</w:t>
      </w:r>
      <w:r>
        <w:rPr>
          <w:rFonts w:cs="Times New Roman"/>
          <w:sz w:val="22"/>
          <w:szCs w:val="22"/>
        </w:rPr>
        <w:t>. Journal of International Business Studies, 37, 767-785.</w:t>
      </w:r>
    </w:p>
    <w:p w:rsidR="00DE065B" w:rsidRPr="009B3714" w:rsidRDefault="00DE065B" w:rsidP="00B108CE">
      <w:pPr>
        <w:rPr>
          <w:rFonts w:eastAsia="Times New Roman" w:cs="Times New Roman"/>
          <w:sz w:val="22"/>
          <w:szCs w:val="22"/>
        </w:rPr>
      </w:pPr>
    </w:p>
    <w:p w:rsidR="008F000E" w:rsidRPr="009B3714" w:rsidRDefault="008F000E" w:rsidP="008F000E">
      <w:pPr>
        <w:rPr>
          <w:rFonts w:cs="Times New Roman"/>
          <w:sz w:val="22"/>
          <w:szCs w:val="22"/>
        </w:rPr>
      </w:pPr>
      <w:proofErr w:type="gramStart"/>
      <w:r w:rsidRPr="009B3714">
        <w:rPr>
          <w:rFonts w:cs="Times New Roman"/>
          <w:sz w:val="22"/>
          <w:szCs w:val="22"/>
        </w:rPr>
        <w:t>Li, Q</w:t>
      </w:r>
      <w:r w:rsidR="00A07D1A" w:rsidRPr="009B3714">
        <w:rPr>
          <w:rFonts w:cs="Times New Roman"/>
          <w:sz w:val="22"/>
          <w:szCs w:val="22"/>
        </w:rPr>
        <w:t>. &amp;</w:t>
      </w:r>
      <w:r w:rsidRPr="009B3714">
        <w:rPr>
          <w:rFonts w:cs="Times New Roman"/>
          <w:sz w:val="22"/>
          <w:szCs w:val="22"/>
        </w:rPr>
        <w:t xml:space="preserve">, Resnick, </w:t>
      </w:r>
      <w:r w:rsidR="00A07D1A" w:rsidRPr="009B3714">
        <w:rPr>
          <w:rFonts w:cs="Times New Roman"/>
          <w:sz w:val="22"/>
          <w:szCs w:val="22"/>
        </w:rPr>
        <w:t>A. (</w:t>
      </w:r>
      <w:r w:rsidRPr="009B3714">
        <w:rPr>
          <w:rFonts w:cs="Times New Roman"/>
          <w:sz w:val="22"/>
          <w:szCs w:val="22"/>
        </w:rPr>
        <w:t>2003</w:t>
      </w:r>
      <w:r w:rsidR="00A07D1A" w:rsidRPr="009B3714">
        <w:rPr>
          <w:rFonts w:cs="Times New Roman"/>
          <w:sz w:val="22"/>
          <w:szCs w:val="22"/>
        </w:rPr>
        <w:t>)</w:t>
      </w:r>
      <w:r w:rsidRPr="009B3714">
        <w:rPr>
          <w:rFonts w:cs="Times New Roman"/>
          <w:sz w:val="22"/>
          <w:szCs w:val="22"/>
        </w:rPr>
        <w:t>.</w:t>
      </w:r>
      <w:proofErr w:type="gramEnd"/>
      <w:r w:rsidRPr="009B3714">
        <w:rPr>
          <w:rFonts w:cs="Times New Roman"/>
          <w:sz w:val="22"/>
          <w:szCs w:val="22"/>
        </w:rPr>
        <w:t xml:space="preserve"> Reversal of fortunes: democratic institutions and FDI inﬂows to developing countries. International Organization</w:t>
      </w:r>
      <w:r w:rsidR="00A07D1A" w:rsidRPr="009B3714">
        <w:rPr>
          <w:rFonts w:cs="Times New Roman"/>
          <w:sz w:val="22"/>
          <w:szCs w:val="22"/>
        </w:rPr>
        <w:t>,</w:t>
      </w:r>
      <w:r w:rsidRPr="009B3714">
        <w:rPr>
          <w:rFonts w:cs="Times New Roman"/>
          <w:sz w:val="22"/>
          <w:szCs w:val="22"/>
        </w:rPr>
        <w:t xml:space="preserve"> 57, 175–211</w:t>
      </w:r>
      <w:r w:rsidR="00A07D1A" w:rsidRPr="009B3714">
        <w:rPr>
          <w:rFonts w:cs="Times New Roman"/>
          <w:sz w:val="22"/>
          <w:szCs w:val="22"/>
        </w:rPr>
        <w:t>.</w:t>
      </w:r>
    </w:p>
    <w:p w:rsidR="00E54B07" w:rsidRPr="009B3714" w:rsidRDefault="00E54B07" w:rsidP="00B108CE">
      <w:pPr>
        <w:rPr>
          <w:rFonts w:cs="Times New Roman"/>
          <w:sz w:val="22"/>
          <w:szCs w:val="22"/>
        </w:rPr>
      </w:pPr>
    </w:p>
    <w:p w:rsidR="006A4ECE" w:rsidRPr="009B3714" w:rsidRDefault="006A4ECE" w:rsidP="00B108CE">
      <w:pPr>
        <w:rPr>
          <w:rFonts w:cs="Times New Roman"/>
          <w:sz w:val="22"/>
          <w:szCs w:val="22"/>
        </w:rPr>
      </w:pPr>
      <w:proofErr w:type="spellStart"/>
      <w:r w:rsidRPr="009B3714">
        <w:rPr>
          <w:rFonts w:cs="Times New Roman"/>
          <w:sz w:val="22"/>
          <w:szCs w:val="22"/>
        </w:rPr>
        <w:t>Madichie</w:t>
      </w:r>
      <w:proofErr w:type="spellEnd"/>
      <w:r w:rsidRPr="009B3714">
        <w:rPr>
          <w:rFonts w:cs="Times New Roman"/>
          <w:sz w:val="22"/>
          <w:szCs w:val="22"/>
        </w:rPr>
        <w:t xml:space="preserve">, N. (2011). Assessment of Middle East </w:t>
      </w:r>
      <w:r w:rsidR="00A07D1A" w:rsidRPr="009B3714">
        <w:rPr>
          <w:rFonts w:cs="Times New Roman"/>
          <w:sz w:val="22"/>
          <w:szCs w:val="22"/>
        </w:rPr>
        <w:t>i</w:t>
      </w:r>
      <w:r w:rsidRPr="009B3714">
        <w:rPr>
          <w:rFonts w:cs="Times New Roman"/>
          <w:sz w:val="22"/>
          <w:szCs w:val="22"/>
        </w:rPr>
        <w:t xml:space="preserve">nvestments in Sub-Saharan Africa: Insights </w:t>
      </w:r>
      <w:r w:rsidR="00A07D1A" w:rsidRPr="009B3714">
        <w:rPr>
          <w:rFonts w:cs="Times New Roman"/>
          <w:sz w:val="22"/>
          <w:szCs w:val="22"/>
        </w:rPr>
        <w:t>f</w:t>
      </w:r>
      <w:r w:rsidRPr="009B3714">
        <w:rPr>
          <w:rFonts w:cs="Times New Roman"/>
          <w:sz w:val="22"/>
          <w:szCs w:val="22"/>
        </w:rPr>
        <w:t xml:space="preserve">rom the </w:t>
      </w:r>
      <w:r w:rsidR="00A07D1A" w:rsidRPr="009B3714">
        <w:rPr>
          <w:rFonts w:cs="Times New Roman"/>
          <w:sz w:val="22"/>
          <w:szCs w:val="22"/>
        </w:rPr>
        <w:t>m</w:t>
      </w:r>
      <w:r w:rsidRPr="009B3714">
        <w:rPr>
          <w:rFonts w:cs="Times New Roman"/>
          <w:sz w:val="22"/>
          <w:szCs w:val="22"/>
        </w:rPr>
        <w:t xml:space="preserve">obile </w:t>
      </w:r>
      <w:r w:rsidR="00A07D1A" w:rsidRPr="009B3714">
        <w:rPr>
          <w:rFonts w:cs="Times New Roman"/>
          <w:sz w:val="22"/>
          <w:szCs w:val="22"/>
        </w:rPr>
        <w:t>t</w:t>
      </w:r>
      <w:r w:rsidRPr="009B3714">
        <w:rPr>
          <w:rFonts w:cs="Times New Roman"/>
          <w:sz w:val="22"/>
          <w:szCs w:val="22"/>
        </w:rPr>
        <w:t xml:space="preserve">elecom </w:t>
      </w:r>
      <w:r w:rsidR="00A07D1A" w:rsidRPr="009B3714">
        <w:rPr>
          <w:rFonts w:cs="Times New Roman"/>
          <w:sz w:val="22"/>
          <w:szCs w:val="22"/>
        </w:rPr>
        <w:t>s</w:t>
      </w:r>
      <w:r w:rsidRPr="009B3714">
        <w:rPr>
          <w:rFonts w:cs="Times New Roman"/>
          <w:sz w:val="22"/>
          <w:szCs w:val="22"/>
        </w:rPr>
        <w:t xml:space="preserve">ector. </w:t>
      </w:r>
      <w:r w:rsidRPr="009B3714">
        <w:rPr>
          <w:rFonts w:cs="Times New Roman"/>
          <w:bCs/>
          <w:sz w:val="22"/>
          <w:szCs w:val="22"/>
        </w:rPr>
        <w:t>Thunderbird International Business Review</w:t>
      </w:r>
      <w:r w:rsidR="00A07D1A" w:rsidRPr="009B3714">
        <w:rPr>
          <w:rFonts w:cs="Times New Roman"/>
          <w:bCs/>
          <w:sz w:val="22"/>
          <w:szCs w:val="22"/>
        </w:rPr>
        <w:t>,</w:t>
      </w:r>
      <w:r w:rsidRPr="009B3714">
        <w:rPr>
          <w:rFonts w:cs="Times New Roman"/>
          <w:bCs/>
          <w:sz w:val="22"/>
          <w:szCs w:val="22"/>
        </w:rPr>
        <w:t xml:space="preserve"> </w:t>
      </w:r>
      <w:r w:rsidRPr="009B3714">
        <w:rPr>
          <w:rFonts w:cs="Times New Roman"/>
          <w:sz w:val="22"/>
          <w:szCs w:val="22"/>
        </w:rPr>
        <w:t xml:space="preserve">53 (1), </w:t>
      </w:r>
      <w:r w:rsidR="00A07D1A" w:rsidRPr="009B3714">
        <w:rPr>
          <w:rFonts w:cs="Times New Roman"/>
          <w:sz w:val="22"/>
          <w:szCs w:val="22"/>
        </w:rPr>
        <w:t>79-92.</w:t>
      </w:r>
    </w:p>
    <w:p w:rsidR="006630C6" w:rsidRPr="009B3714" w:rsidRDefault="006630C6" w:rsidP="00B108CE">
      <w:pPr>
        <w:rPr>
          <w:rFonts w:cs="Times New Roman"/>
          <w:sz w:val="22"/>
          <w:szCs w:val="22"/>
        </w:rPr>
      </w:pPr>
    </w:p>
    <w:p w:rsidR="006630C6" w:rsidRPr="009B3714" w:rsidRDefault="006630C6" w:rsidP="00B108CE">
      <w:pPr>
        <w:rPr>
          <w:rFonts w:cs="Times New Roman"/>
          <w:sz w:val="22"/>
          <w:szCs w:val="22"/>
        </w:rPr>
      </w:pPr>
      <w:proofErr w:type="spellStart"/>
      <w:proofErr w:type="gramStart"/>
      <w:r w:rsidRPr="009B3714">
        <w:rPr>
          <w:rFonts w:cs="Times New Roman"/>
          <w:sz w:val="22"/>
          <w:szCs w:val="22"/>
        </w:rPr>
        <w:t>Mmieh</w:t>
      </w:r>
      <w:proofErr w:type="spellEnd"/>
      <w:r w:rsidRPr="009B3714">
        <w:rPr>
          <w:rFonts w:cs="Times New Roman"/>
          <w:sz w:val="22"/>
          <w:szCs w:val="22"/>
        </w:rPr>
        <w:t xml:space="preserve">, F., &amp; </w:t>
      </w:r>
      <w:proofErr w:type="spellStart"/>
      <w:r w:rsidRPr="009B3714">
        <w:rPr>
          <w:rFonts w:cs="Times New Roman"/>
          <w:sz w:val="22"/>
          <w:szCs w:val="22"/>
        </w:rPr>
        <w:t>Owusu-Frimpong</w:t>
      </w:r>
      <w:proofErr w:type="spellEnd"/>
      <w:r w:rsidRPr="009B3714">
        <w:rPr>
          <w:rFonts w:cs="Times New Roman"/>
          <w:sz w:val="22"/>
          <w:szCs w:val="22"/>
        </w:rPr>
        <w:t>, N. (2004).</w:t>
      </w:r>
      <w:proofErr w:type="gramEnd"/>
      <w:r w:rsidRPr="009B3714">
        <w:rPr>
          <w:rFonts w:cs="Times New Roman"/>
          <w:sz w:val="22"/>
          <w:szCs w:val="22"/>
        </w:rPr>
        <w:t xml:space="preserve"> State policies and the challenges in attracting foreign direct investment: A review of the Ghana experience. Thunderbird International Business Review, 46(5), 575-599.</w:t>
      </w:r>
    </w:p>
    <w:p w:rsidR="006A4ECE" w:rsidRPr="009B3714" w:rsidRDefault="006A4ECE" w:rsidP="00B108CE">
      <w:pPr>
        <w:rPr>
          <w:rFonts w:cs="Times New Roman"/>
          <w:sz w:val="22"/>
          <w:szCs w:val="22"/>
        </w:rPr>
      </w:pPr>
    </w:p>
    <w:p w:rsidR="00B662C7" w:rsidRPr="009B3714" w:rsidRDefault="00B662C7" w:rsidP="00B108CE">
      <w:pPr>
        <w:rPr>
          <w:rFonts w:cs="Times New Roman"/>
          <w:b/>
          <w:bCs/>
          <w:sz w:val="22"/>
          <w:szCs w:val="22"/>
        </w:rPr>
      </w:pPr>
      <w:proofErr w:type="spellStart"/>
      <w:r w:rsidRPr="009B3714">
        <w:rPr>
          <w:rFonts w:cs="Times New Roman"/>
          <w:sz w:val="22"/>
          <w:szCs w:val="22"/>
        </w:rPr>
        <w:t>Ndikumana</w:t>
      </w:r>
      <w:proofErr w:type="spellEnd"/>
      <w:r w:rsidRPr="009B3714">
        <w:rPr>
          <w:rFonts w:cs="Times New Roman"/>
          <w:sz w:val="22"/>
          <w:szCs w:val="22"/>
        </w:rPr>
        <w:t xml:space="preserve">, L. </w:t>
      </w:r>
      <w:r w:rsidR="00A07D1A" w:rsidRPr="009B3714">
        <w:rPr>
          <w:rFonts w:cs="Times New Roman"/>
          <w:sz w:val="22"/>
          <w:szCs w:val="22"/>
        </w:rPr>
        <w:t>&amp;</w:t>
      </w:r>
      <w:r w:rsidRPr="009B3714">
        <w:rPr>
          <w:rFonts w:cs="Times New Roman"/>
          <w:sz w:val="22"/>
          <w:szCs w:val="22"/>
        </w:rPr>
        <w:t xml:space="preserve"> </w:t>
      </w:r>
      <w:proofErr w:type="spellStart"/>
      <w:r w:rsidRPr="009B3714">
        <w:rPr>
          <w:rFonts w:cs="Times New Roman"/>
          <w:sz w:val="22"/>
          <w:szCs w:val="22"/>
        </w:rPr>
        <w:t>Verick</w:t>
      </w:r>
      <w:proofErr w:type="spellEnd"/>
      <w:r w:rsidRPr="009B3714">
        <w:rPr>
          <w:rFonts w:cs="Times New Roman"/>
          <w:sz w:val="22"/>
          <w:szCs w:val="22"/>
        </w:rPr>
        <w:t xml:space="preserve">, S. (2008). </w:t>
      </w:r>
      <w:r w:rsidRPr="009B3714">
        <w:rPr>
          <w:rFonts w:cs="Times New Roman"/>
          <w:bCs/>
          <w:sz w:val="22"/>
          <w:szCs w:val="22"/>
        </w:rPr>
        <w:t xml:space="preserve">The Linkages between FDI and </w:t>
      </w:r>
      <w:r w:rsidR="00A07D1A" w:rsidRPr="009B3714">
        <w:rPr>
          <w:rFonts w:cs="Times New Roman"/>
          <w:bCs/>
          <w:sz w:val="22"/>
          <w:szCs w:val="22"/>
        </w:rPr>
        <w:t>d</w:t>
      </w:r>
      <w:r w:rsidRPr="009B3714">
        <w:rPr>
          <w:rFonts w:cs="Times New Roman"/>
          <w:bCs/>
          <w:sz w:val="22"/>
          <w:szCs w:val="22"/>
        </w:rPr>
        <w:t xml:space="preserve">omestic Investment: Unravelling the </w:t>
      </w:r>
      <w:r w:rsidR="00A07D1A" w:rsidRPr="009B3714">
        <w:rPr>
          <w:rFonts w:cs="Times New Roman"/>
          <w:bCs/>
          <w:sz w:val="22"/>
          <w:szCs w:val="22"/>
        </w:rPr>
        <w:t>d</w:t>
      </w:r>
      <w:r w:rsidRPr="009B3714">
        <w:rPr>
          <w:rFonts w:cs="Times New Roman"/>
          <w:bCs/>
          <w:sz w:val="22"/>
          <w:szCs w:val="22"/>
        </w:rPr>
        <w:t xml:space="preserve">evelopmental </w:t>
      </w:r>
      <w:r w:rsidR="00A07D1A" w:rsidRPr="009B3714">
        <w:rPr>
          <w:rFonts w:cs="Times New Roman"/>
          <w:bCs/>
          <w:sz w:val="22"/>
          <w:szCs w:val="22"/>
        </w:rPr>
        <w:t>i</w:t>
      </w:r>
      <w:r w:rsidRPr="009B3714">
        <w:rPr>
          <w:rFonts w:cs="Times New Roman"/>
          <w:bCs/>
          <w:sz w:val="22"/>
          <w:szCs w:val="22"/>
        </w:rPr>
        <w:t xml:space="preserve">mpact of </w:t>
      </w:r>
      <w:r w:rsidR="00A07D1A" w:rsidRPr="009B3714">
        <w:rPr>
          <w:rFonts w:cs="Times New Roman"/>
          <w:bCs/>
          <w:sz w:val="22"/>
          <w:szCs w:val="22"/>
        </w:rPr>
        <w:t>f</w:t>
      </w:r>
      <w:r w:rsidRPr="009B3714">
        <w:rPr>
          <w:rFonts w:cs="Times New Roman"/>
          <w:bCs/>
          <w:sz w:val="22"/>
          <w:szCs w:val="22"/>
        </w:rPr>
        <w:t xml:space="preserve">oreign </w:t>
      </w:r>
      <w:r w:rsidR="00A07D1A" w:rsidRPr="009B3714">
        <w:rPr>
          <w:rFonts w:cs="Times New Roman"/>
          <w:bCs/>
          <w:sz w:val="22"/>
          <w:szCs w:val="22"/>
        </w:rPr>
        <w:t>i</w:t>
      </w:r>
      <w:r w:rsidRPr="009B3714">
        <w:rPr>
          <w:rFonts w:cs="Times New Roman"/>
          <w:bCs/>
          <w:sz w:val="22"/>
          <w:szCs w:val="22"/>
        </w:rPr>
        <w:t xml:space="preserve">nvestment in Sub-Saharan Africa. </w:t>
      </w:r>
      <w:r w:rsidR="00397C13" w:rsidRPr="009B3714">
        <w:rPr>
          <w:rFonts w:cs="Times New Roman"/>
          <w:bCs/>
          <w:sz w:val="22"/>
          <w:szCs w:val="22"/>
        </w:rPr>
        <w:t xml:space="preserve"> </w:t>
      </w:r>
      <w:proofErr w:type="gramStart"/>
      <w:r w:rsidRPr="009B3714">
        <w:rPr>
          <w:rFonts w:cs="Times New Roman"/>
          <w:sz w:val="22"/>
          <w:szCs w:val="22"/>
        </w:rPr>
        <w:t xml:space="preserve">Development Paper series- Institute for the Study of </w:t>
      </w:r>
      <w:proofErr w:type="spellStart"/>
      <w:r w:rsidRPr="009B3714">
        <w:rPr>
          <w:rFonts w:cs="Times New Roman"/>
          <w:sz w:val="22"/>
          <w:szCs w:val="22"/>
        </w:rPr>
        <w:t>Labor</w:t>
      </w:r>
      <w:proofErr w:type="spellEnd"/>
      <w:r w:rsidRPr="009B3714">
        <w:rPr>
          <w:rFonts w:cs="Times New Roman"/>
          <w:sz w:val="22"/>
          <w:szCs w:val="22"/>
        </w:rPr>
        <w:t xml:space="preserve"> (IZA).</w:t>
      </w:r>
      <w:proofErr w:type="gramEnd"/>
      <w:r w:rsidRPr="009B3714">
        <w:rPr>
          <w:rFonts w:cs="Times New Roman"/>
          <w:sz w:val="22"/>
          <w:szCs w:val="22"/>
        </w:rPr>
        <w:t xml:space="preserve"> No 3296. </w:t>
      </w:r>
    </w:p>
    <w:p w:rsidR="00B662C7" w:rsidRPr="009B3714" w:rsidRDefault="00B662C7" w:rsidP="00B108CE">
      <w:pPr>
        <w:rPr>
          <w:rFonts w:cs="Times New Roman"/>
          <w:sz w:val="22"/>
          <w:szCs w:val="22"/>
        </w:rPr>
      </w:pPr>
    </w:p>
    <w:p w:rsidR="006A4ECE" w:rsidRPr="009B3714" w:rsidRDefault="006A4ECE" w:rsidP="00B108CE">
      <w:pPr>
        <w:rPr>
          <w:rFonts w:cs="Times New Roman"/>
          <w:sz w:val="22"/>
          <w:szCs w:val="22"/>
        </w:rPr>
      </w:pPr>
      <w:proofErr w:type="gramStart"/>
      <w:r w:rsidRPr="009B3714">
        <w:rPr>
          <w:rFonts w:cs="Times New Roman"/>
          <w:sz w:val="22"/>
          <w:szCs w:val="22"/>
        </w:rPr>
        <w:t>Nigeria Bureau of Statistics</w:t>
      </w:r>
      <w:r w:rsidR="00552E7C" w:rsidRPr="009B3714">
        <w:rPr>
          <w:rFonts w:cs="Times New Roman"/>
          <w:sz w:val="22"/>
          <w:szCs w:val="22"/>
        </w:rPr>
        <w:t xml:space="preserve"> (NBS)</w:t>
      </w:r>
      <w:r w:rsidR="00661281" w:rsidRPr="009B3714">
        <w:rPr>
          <w:rFonts w:cs="Times New Roman"/>
          <w:sz w:val="22"/>
          <w:szCs w:val="22"/>
        </w:rPr>
        <w:t xml:space="preserve"> Website</w:t>
      </w:r>
      <w:r w:rsidRPr="009B3714">
        <w:rPr>
          <w:rFonts w:cs="Times New Roman"/>
          <w:sz w:val="22"/>
          <w:szCs w:val="22"/>
        </w:rPr>
        <w:t>.</w:t>
      </w:r>
      <w:proofErr w:type="gramEnd"/>
      <w:r w:rsidRPr="009B3714">
        <w:rPr>
          <w:rFonts w:cs="Times New Roman"/>
          <w:sz w:val="22"/>
          <w:szCs w:val="22"/>
        </w:rPr>
        <w:t xml:space="preserve"> </w:t>
      </w:r>
      <w:proofErr w:type="gramStart"/>
      <w:r w:rsidRPr="009B3714">
        <w:rPr>
          <w:rFonts w:cs="Times New Roman"/>
          <w:sz w:val="22"/>
          <w:szCs w:val="22"/>
        </w:rPr>
        <w:t xml:space="preserve">(2013). </w:t>
      </w:r>
      <w:r w:rsidRPr="009B3714">
        <w:rPr>
          <w:rFonts w:cs="Times New Roman"/>
          <w:i/>
          <w:iCs/>
          <w:sz w:val="22"/>
          <w:szCs w:val="22"/>
        </w:rPr>
        <w:t>FDI Data Portal</w:t>
      </w:r>
      <w:r w:rsidRPr="009B3714">
        <w:rPr>
          <w:rFonts w:cs="Times New Roman"/>
          <w:sz w:val="22"/>
          <w:szCs w:val="22"/>
        </w:rPr>
        <w:t>.</w:t>
      </w:r>
      <w:proofErr w:type="gramEnd"/>
      <w:r w:rsidRPr="009B3714">
        <w:rPr>
          <w:rFonts w:cs="Times New Roman"/>
          <w:sz w:val="22"/>
          <w:szCs w:val="22"/>
        </w:rPr>
        <w:t xml:space="preserve"> Abuja: NBS.</w:t>
      </w:r>
      <w:r w:rsidR="00E4058D" w:rsidRPr="009B3714">
        <w:rPr>
          <w:rFonts w:cs="Times New Roman"/>
          <w:sz w:val="22"/>
          <w:szCs w:val="22"/>
        </w:rPr>
        <w:t xml:space="preserve"> (Online)</w:t>
      </w:r>
      <w:r w:rsidRPr="009B3714">
        <w:rPr>
          <w:rFonts w:cs="Times New Roman"/>
          <w:sz w:val="22"/>
          <w:szCs w:val="22"/>
        </w:rPr>
        <w:t xml:space="preserve"> </w:t>
      </w:r>
      <w:proofErr w:type="gramStart"/>
      <w:r w:rsidR="00E4058D" w:rsidRPr="009B3714">
        <w:rPr>
          <w:rFonts w:cs="Times New Roman"/>
          <w:sz w:val="22"/>
          <w:szCs w:val="22"/>
        </w:rPr>
        <w:t xml:space="preserve">Retrieved December 30, 2013, </w:t>
      </w:r>
      <w:r w:rsidRPr="009B3714">
        <w:rPr>
          <w:rFonts w:cs="Times New Roman"/>
          <w:sz w:val="22"/>
          <w:szCs w:val="22"/>
        </w:rPr>
        <w:t xml:space="preserve">from: </w:t>
      </w:r>
      <w:hyperlink r:id="rId13" w:history="1">
        <w:r w:rsidRPr="009B3714">
          <w:rPr>
            <w:rStyle w:val="Hyperlink"/>
            <w:rFonts w:cs="Times New Roman"/>
            <w:color w:val="auto"/>
            <w:sz w:val="22"/>
            <w:szCs w:val="22"/>
          </w:rPr>
          <w:t>http://nigeria.prognoz.com/</w:t>
        </w:r>
      </w:hyperlink>
      <w:r w:rsidRPr="009B3714">
        <w:rPr>
          <w:rFonts w:cs="Times New Roman"/>
          <w:sz w:val="22"/>
          <w:szCs w:val="22"/>
        </w:rPr>
        <w:t>.</w:t>
      </w:r>
      <w:proofErr w:type="gramEnd"/>
      <w:r w:rsidRPr="009B3714">
        <w:rPr>
          <w:rFonts w:cs="Times New Roman"/>
          <w:sz w:val="22"/>
          <w:szCs w:val="22"/>
        </w:rPr>
        <w:t xml:space="preserve">  </w:t>
      </w:r>
    </w:p>
    <w:p w:rsidR="00661281" w:rsidRPr="009B3714" w:rsidRDefault="00661281" w:rsidP="00B108CE">
      <w:pPr>
        <w:rPr>
          <w:rFonts w:cs="Times New Roman"/>
          <w:sz w:val="22"/>
          <w:szCs w:val="22"/>
        </w:rPr>
      </w:pPr>
    </w:p>
    <w:p w:rsidR="003105FE" w:rsidRPr="009B3714" w:rsidRDefault="003105FE" w:rsidP="00B108CE">
      <w:pPr>
        <w:rPr>
          <w:rFonts w:cs="Times New Roman"/>
          <w:iCs/>
          <w:sz w:val="22"/>
          <w:szCs w:val="22"/>
        </w:rPr>
      </w:pPr>
      <w:r w:rsidRPr="009B3714">
        <w:rPr>
          <w:rFonts w:cs="Times New Roman"/>
          <w:iCs/>
          <w:sz w:val="22"/>
          <w:szCs w:val="22"/>
        </w:rPr>
        <w:t xml:space="preserve">Nigerian </w:t>
      </w:r>
      <w:r w:rsidR="00A77188" w:rsidRPr="009B3714">
        <w:rPr>
          <w:rFonts w:cs="Times New Roman"/>
          <w:iCs/>
          <w:sz w:val="22"/>
          <w:szCs w:val="22"/>
        </w:rPr>
        <w:t>C</w:t>
      </w:r>
      <w:r w:rsidRPr="009B3714">
        <w:rPr>
          <w:rFonts w:cs="Times New Roman"/>
          <w:iCs/>
          <w:sz w:val="22"/>
          <w:szCs w:val="22"/>
        </w:rPr>
        <w:t>ommunications Commission</w:t>
      </w:r>
      <w:r w:rsidR="00552E7C" w:rsidRPr="009B3714">
        <w:rPr>
          <w:rFonts w:cs="Times New Roman"/>
          <w:iCs/>
          <w:sz w:val="22"/>
          <w:szCs w:val="22"/>
        </w:rPr>
        <w:t xml:space="preserve"> (NCC)</w:t>
      </w:r>
      <w:r w:rsidRPr="009B3714">
        <w:rPr>
          <w:rFonts w:cs="Times New Roman"/>
          <w:iCs/>
          <w:sz w:val="22"/>
          <w:szCs w:val="22"/>
        </w:rPr>
        <w:t xml:space="preserve">. </w:t>
      </w:r>
      <w:proofErr w:type="gramStart"/>
      <w:r w:rsidRPr="009B3714">
        <w:rPr>
          <w:rFonts w:cs="Times New Roman"/>
          <w:iCs/>
          <w:sz w:val="22"/>
          <w:szCs w:val="22"/>
        </w:rPr>
        <w:t xml:space="preserve">Homepage of Nigerian </w:t>
      </w:r>
      <w:r w:rsidR="00273D6A" w:rsidRPr="009B3714">
        <w:rPr>
          <w:rFonts w:cs="Times New Roman"/>
          <w:iCs/>
          <w:sz w:val="22"/>
          <w:szCs w:val="22"/>
        </w:rPr>
        <w:t>T</w:t>
      </w:r>
      <w:r w:rsidR="00FD0CE7" w:rsidRPr="009B3714">
        <w:rPr>
          <w:rFonts w:cs="Times New Roman"/>
          <w:iCs/>
          <w:sz w:val="22"/>
          <w:szCs w:val="22"/>
        </w:rPr>
        <w:t>elecommunications C</w:t>
      </w:r>
      <w:r w:rsidR="00E4058D" w:rsidRPr="009B3714">
        <w:rPr>
          <w:rFonts w:cs="Times New Roman"/>
          <w:iCs/>
          <w:sz w:val="22"/>
          <w:szCs w:val="22"/>
        </w:rPr>
        <w:t>ommission</w:t>
      </w:r>
      <w:r w:rsidRPr="009B3714">
        <w:rPr>
          <w:rFonts w:cs="Times New Roman"/>
          <w:iCs/>
          <w:sz w:val="22"/>
          <w:szCs w:val="22"/>
        </w:rPr>
        <w:t>.</w:t>
      </w:r>
      <w:proofErr w:type="gramEnd"/>
      <w:r w:rsidRPr="009B3714">
        <w:rPr>
          <w:rFonts w:cs="Times New Roman"/>
          <w:iCs/>
          <w:sz w:val="22"/>
          <w:szCs w:val="22"/>
        </w:rPr>
        <w:t xml:space="preserve"> (</w:t>
      </w:r>
      <w:r w:rsidR="00E4058D" w:rsidRPr="009B3714">
        <w:rPr>
          <w:rFonts w:cs="Times New Roman"/>
          <w:iCs/>
          <w:sz w:val="22"/>
          <w:szCs w:val="22"/>
        </w:rPr>
        <w:t xml:space="preserve">Online) </w:t>
      </w:r>
      <w:proofErr w:type="gramStart"/>
      <w:r w:rsidR="00E4058D" w:rsidRPr="009B3714">
        <w:rPr>
          <w:rFonts w:cs="Times New Roman"/>
          <w:iCs/>
          <w:sz w:val="22"/>
          <w:szCs w:val="22"/>
        </w:rPr>
        <w:t xml:space="preserve">Retrieved </w:t>
      </w:r>
      <w:r w:rsidRPr="009B3714">
        <w:rPr>
          <w:rFonts w:cs="Times New Roman"/>
          <w:iCs/>
          <w:sz w:val="22"/>
          <w:szCs w:val="22"/>
        </w:rPr>
        <w:t>September</w:t>
      </w:r>
      <w:r w:rsidR="00E4058D" w:rsidRPr="009B3714">
        <w:rPr>
          <w:rFonts w:cs="Times New Roman"/>
          <w:iCs/>
          <w:sz w:val="22"/>
          <w:szCs w:val="22"/>
        </w:rPr>
        <w:t>, 21,</w:t>
      </w:r>
      <w:r w:rsidRPr="009B3714">
        <w:rPr>
          <w:rFonts w:cs="Times New Roman"/>
          <w:iCs/>
          <w:sz w:val="22"/>
          <w:szCs w:val="22"/>
        </w:rPr>
        <w:t xml:space="preserve"> 2013</w:t>
      </w:r>
      <w:r w:rsidR="00E4058D" w:rsidRPr="009B3714">
        <w:rPr>
          <w:rFonts w:cs="Times New Roman"/>
          <w:iCs/>
          <w:sz w:val="22"/>
          <w:szCs w:val="22"/>
        </w:rPr>
        <w:t xml:space="preserve">, </w:t>
      </w:r>
      <w:r w:rsidRPr="009B3714">
        <w:rPr>
          <w:rFonts w:cs="Times New Roman"/>
          <w:iCs/>
          <w:sz w:val="22"/>
          <w:szCs w:val="22"/>
        </w:rPr>
        <w:t xml:space="preserve">from: </w:t>
      </w:r>
      <w:hyperlink r:id="rId14" w:history="1">
        <w:r w:rsidR="00661281" w:rsidRPr="009B3714">
          <w:rPr>
            <w:rStyle w:val="Hyperlink"/>
            <w:rFonts w:cs="Times New Roman"/>
            <w:color w:val="auto"/>
            <w:sz w:val="22"/>
            <w:szCs w:val="22"/>
            <w:lang w:val="en-US"/>
          </w:rPr>
          <w:t>http://www.ncc.gov.ng/index4_e.htm.</w:t>
        </w:r>
        <w:proofErr w:type="gramEnd"/>
        <w:r w:rsidR="00661281" w:rsidRPr="009B3714">
          <w:rPr>
            <w:rStyle w:val="Hyperlink"/>
            <w:rFonts w:cs="Times New Roman"/>
            <w:color w:val="auto"/>
            <w:sz w:val="22"/>
            <w:szCs w:val="22"/>
            <w:lang w:val="en-US"/>
          </w:rPr>
          <w:t xml:space="preserve"> </w:t>
        </w:r>
      </w:hyperlink>
    </w:p>
    <w:p w:rsidR="003C0FF3" w:rsidRPr="009B3714" w:rsidRDefault="003C0FF3" w:rsidP="00B108CE">
      <w:pPr>
        <w:autoSpaceDE/>
        <w:autoSpaceDN/>
        <w:adjustRightInd/>
        <w:rPr>
          <w:rFonts w:eastAsia="Times New Roman" w:cs="Times New Roman"/>
          <w:sz w:val="22"/>
          <w:szCs w:val="22"/>
        </w:rPr>
      </w:pPr>
    </w:p>
    <w:p w:rsidR="006A4ECE" w:rsidRPr="009B3714" w:rsidRDefault="006A4ECE" w:rsidP="00B108CE">
      <w:pPr>
        <w:autoSpaceDE/>
        <w:autoSpaceDN/>
        <w:adjustRightInd/>
        <w:rPr>
          <w:rFonts w:eastAsia="Times New Roman" w:cs="Times New Roman"/>
          <w:sz w:val="22"/>
          <w:szCs w:val="22"/>
        </w:rPr>
      </w:pPr>
      <w:proofErr w:type="spellStart"/>
      <w:proofErr w:type="gramStart"/>
      <w:r w:rsidRPr="009B3714">
        <w:rPr>
          <w:rFonts w:eastAsia="Times New Roman" w:cs="Times New Roman"/>
          <w:sz w:val="22"/>
          <w:szCs w:val="22"/>
        </w:rPr>
        <w:t>Noorbakhsh</w:t>
      </w:r>
      <w:proofErr w:type="spellEnd"/>
      <w:r w:rsidRPr="009B3714">
        <w:rPr>
          <w:rFonts w:eastAsia="Times New Roman" w:cs="Times New Roman"/>
          <w:sz w:val="22"/>
          <w:szCs w:val="22"/>
        </w:rPr>
        <w:t xml:space="preserve">, F., </w:t>
      </w:r>
      <w:proofErr w:type="spellStart"/>
      <w:r w:rsidRPr="009B3714">
        <w:rPr>
          <w:rFonts w:eastAsia="Times New Roman" w:cs="Times New Roman"/>
          <w:sz w:val="22"/>
          <w:szCs w:val="22"/>
        </w:rPr>
        <w:t>Paloni</w:t>
      </w:r>
      <w:proofErr w:type="spellEnd"/>
      <w:r w:rsidRPr="009B3714">
        <w:rPr>
          <w:rFonts w:eastAsia="Times New Roman" w:cs="Times New Roman"/>
          <w:sz w:val="22"/>
          <w:szCs w:val="22"/>
        </w:rPr>
        <w:t xml:space="preserve">, A. </w:t>
      </w:r>
      <w:r w:rsidR="00E4058D" w:rsidRPr="009B3714">
        <w:rPr>
          <w:rFonts w:eastAsia="Times New Roman" w:cs="Times New Roman"/>
          <w:sz w:val="22"/>
          <w:szCs w:val="22"/>
        </w:rPr>
        <w:t>&amp;</w:t>
      </w:r>
      <w:r w:rsidRPr="009B3714">
        <w:rPr>
          <w:rFonts w:eastAsia="Times New Roman" w:cs="Times New Roman"/>
          <w:sz w:val="22"/>
          <w:szCs w:val="22"/>
        </w:rPr>
        <w:t xml:space="preserve"> Youssef, A. (2001).</w:t>
      </w:r>
      <w:proofErr w:type="gramEnd"/>
      <w:r w:rsidRPr="009B3714">
        <w:rPr>
          <w:rFonts w:eastAsia="Times New Roman" w:cs="Times New Roman"/>
          <w:sz w:val="22"/>
          <w:szCs w:val="22"/>
        </w:rPr>
        <w:t xml:space="preserve"> Human </w:t>
      </w:r>
      <w:r w:rsidR="00E4058D" w:rsidRPr="009B3714">
        <w:rPr>
          <w:rFonts w:eastAsia="Times New Roman" w:cs="Times New Roman"/>
          <w:sz w:val="22"/>
          <w:szCs w:val="22"/>
        </w:rPr>
        <w:t>c</w:t>
      </w:r>
      <w:r w:rsidRPr="009B3714">
        <w:rPr>
          <w:rFonts w:eastAsia="Times New Roman" w:cs="Times New Roman"/>
          <w:sz w:val="22"/>
          <w:szCs w:val="22"/>
        </w:rPr>
        <w:t xml:space="preserve">apital and FDI </w:t>
      </w:r>
      <w:r w:rsidR="00E4058D" w:rsidRPr="009B3714">
        <w:rPr>
          <w:rFonts w:eastAsia="Times New Roman" w:cs="Times New Roman"/>
          <w:sz w:val="22"/>
          <w:szCs w:val="22"/>
        </w:rPr>
        <w:t>i</w:t>
      </w:r>
      <w:r w:rsidRPr="009B3714">
        <w:rPr>
          <w:rFonts w:eastAsia="Times New Roman" w:cs="Times New Roman"/>
          <w:sz w:val="22"/>
          <w:szCs w:val="22"/>
        </w:rPr>
        <w:t xml:space="preserve">nflows to </w:t>
      </w:r>
      <w:r w:rsidR="00E4058D" w:rsidRPr="009B3714">
        <w:rPr>
          <w:rFonts w:eastAsia="Times New Roman" w:cs="Times New Roman"/>
          <w:sz w:val="22"/>
          <w:szCs w:val="22"/>
        </w:rPr>
        <w:t>d</w:t>
      </w:r>
      <w:r w:rsidRPr="009B3714">
        <w:rPr>
          <w:rFonts w:eastAsia="Times New Roman" w:cs="Times New Roman"/>
          <w:sz w:val="22"/>
          <w:szCs w:val="22"/>
        </w:rPr>
        <w:t xml:space="preserve">eveloping </w:t>
      </w:r>
      <w:r w:rsidR="00E4058D" w:rsidRPr="009B3714">
        <w:rPr>
          <w:rFonts w:eastAsia="Times New Roman" w:cs="Times New Roman"/>
          <w:sz w:val="22"/>
          <w:szCs w:val="22"/>
        </w:rPr>
        <w:t>c</w:t>
      </w:r>
      <w:r w:rsidRPr="009B3714">
        <w:rPr>
          <w:rFonts w:eastAsia="Times New Roman" w:cs="Times New Roman"/>
          <w:sz w:val="22"/>
          <w:szCs w:val="22"/>
        </w:rPr>
        <w:t xml:space="preserve">ountries: New </w:t>
      </w:r>
      <w:r w:rsidR="00E4058D" w:rsidRPr="009B3714">
        <w:rPr>
          <w:rFonts w:eastAsia="Times New Roman" w:cs="Times New Roman"/>
          <w:sz w:val="22"/>
          <w:szCs w:val="22"/>
        </w:rPr>
        <w:t>e</w:t>
      </w:r>
      <w:r w:rsidRPr="009B3714">
        <w:rPr>
          <w:rFonts w:eastAsia="Times New Roman" w:cs="Times New Roman"/>
          <w:sz w:val="22"/>
          <w:szCs w:val="22"/>
        </w:rPr>
        <w:t xml:space="preserve">mpirical </w:t>
      </w:r>
      <w:r w:rsidR="00E4058D" w:rsidRPr="009B3714">
        <w:rPr>
          <w:rFonts w:eastAsia="Times New Roman" w:cs="Times New Roman"/>
          <w:sz w:val="22"/>
          <w:szCs w:val="22"/>
        </w:rPr>
        <w:t>e</w:t>
      </w:r>
      <w:r w:rsidRPr="009B3714">
        <w:rPr>
          <w:rFonts w:eastAsia="Times New Roman" w:cs="Times New Roman"/>
          <w:sz w:val="22"/>
          <w:szCs w:val="22"/>
        </w:rPr>
        <w:t xml:space="preserve">vidence. </w:t>
      </w:r>
      <w:r w:rsidRPr="009B3714">
        <w:rPr>
          <w:rFonts w:eastAsia="Times New Roman" w:cs="Times New Roman"/>
          <w:iCs/>
          <w:sz w:val="22"/>
          <w:szCs w:val="22"/>
        </w:rPr>
        <w:t>World Development</w:t>
      </w:r>
      <w:r w:rsidR="00E4058D" w:rsidRPr="009B3714">
        <w:rPr>
          <w:rFonts w:eastAsia="Times New Roman" w:cs="Times New Roman"/>
          <w:sz w:val="22"/>
          <w:szCs w:val="22"/>
        </w:rPr>
        <w:t xml:space="preserve">, </w:t>
      </w:r>
      <w:r w:rsidRPr="009B3714">
        <w:rPr>
          <w:rFonts w:eastAsia="Times New Roman" w:cs="Times New Roman"/>
          <w:sz w:val="22"/>
          <w:szCs w:val="22"/>
        </w:rPr>
        <w:t xml:space="preserve">29 (9), 1593–1610. </w:t>
      </w:r>
    </w:p>
    <w:p w:rsidR="00402BE1" w:rsidRPr="009B3714" w:rsidRDefault="00402BE1" w:rsidP="00B108CE">
      <w:pPr>
        <w:autoSpaceDE/>
        <w:autoSpaceDN/>
        <w:adjustRightInd/>
        <w:rPr>
          <w:rFonts w:eastAsia="Times New Roman" w:cs="Times New Roman"/>
          <w:sz w:val="22"/>
          <w:szCs w:val="22"/>
        </w:rPr>
      </w:pPr>
    </w:p>
    <w:p w:rsidR="003C0FF3" w:rsidRPr="009B3714" w:rsidRDefault="003C0FF3" w:rsidP="003C0FF3">
      <w:pPr>
        <w:autoSpaceDE/>
        <w:autoSpaceDN/>
        <w:adjustRightInd/>
        <w:spacing w:before="100" w:beforeAutospacing="1" w:after="100" w:afterAutospacing="1"/>
        <w:rPr>
          <w:rFonts w:eastAsia="AdvTimes" w:cs="Times New Roman"/>
          <w:sz w:val="22"/>
          <w:szCs w:val="22"/>
          <w:lang w:val="en-US" w:eastAsia="en-US"/>
        </w:rPr>
      </w:pPr>
      <w:proofErr w:type="gramStart"/>
      <w:r w:rsidRPr="009B3714">
        <w:rPr>
          <w:rFonts w:eastAsia="Times New Roman" w:cs="Times New Roman"/>
          <w:sz w:val="22"/>
          <w:szCs w:val="22"/>
          <w:lang w:val="en-US" w:eastAsia="en-US"/>
        </w:rPr>
        <w:t>North, D.</w:t>
      </w:r>
      <w:r w:rsidRPr="009B3714">
        <w:rPr>
          <w:rFonts w:eastAsia="Times New Roman" w:cs="Times New Roman"/>
          <w:sz w:val="22"/>
          <w:szCs w:val="22"/>
          <w:lang w:eastAsia="en-US"/>
        </w:rPr>
        <w:t xml:space="preserve"> C. </w:t>
      </w:r>
      <w:r w:rsidRPr="009B3714">
        <w:rPr>
          <w:rFonts w:eastAsia="Times New Roman" w:cs="Times New Roman"/>
          <w:sz w:val="22"/>
          <w:szCs w:val="22"/>
          <w:lang w:val="en-US" w:eastAsia="en-US"/>
        </w:rPr>
        <w:t>(1990).</w:t>
      </w:r>
      <w:proofErr w:type="gramEnd"/>
      <w:r w:rsidRPr="009B3714">
        <w:rPr>
          <w:rFonts w:eastAsia="Times New Roman" w:cs="Times New Roman"/>
          <w:sz w:val="22"/>
          <w:szCs w:val="22"/>
          <w:lang w:val="en-US" w:eastAsia="en-US"/>
        </w:rPr>
        <w:t xml:space="preserve"> </w:t>
      </w:r>
      <w:proofErr w:type="gramStart"/>
      <w:r w:rsidRPr="009B3714">
        <w:rPr>
          <w:rFonts w:eastAsia="Times New Roman" w:cs="Times New Roman"/>
          <w:iCs/>
          <w:sz w:val="22"/>
          <w:szCs w:val="22"/>
          <w:lang w:val="en-US" w:eastAsia="en-US"/>
        </w:rPr>
        <w:t>Institutions, institutional change, and economic performance</w:t>
      </w:r>
      <w:r w:rsidRPr="009B3714">
        <w:rPr>
          <w:rFonts w:eastAsia="Times New Roman" w:cs="Times New Roman"/>
          <w:sz w:val="22"/>
          <w:szCs w:val="22"/>
          <w:lang w:val="en-US" w:eastAsia="en-US"/>
        </w:rPr>
        <w:t>.</w:t>
      </w:r>
      <w:proofErr w:type="gramEnd"/>
      <w:r w:rsidRPr="009B3714">
        <w:rPr>
          <w:rFonts w:eastAsia="Times New Roman" w:cs="Times New Roman"/>
          <w:sz w:val="22"/>
          <w:szCs w:val="22"/>
          <w:lang w:val="en-US" w:eastAsia="en-US"/>
        </w:rPr>
        <w:t xml:space="preserve"> Cambridge, UK: Cambridge University Press.</w:t>
      </w:r>
    </w:p>
    <w:p w:rsidR="00DD548D" w:rsidRPr="009B3714" w:rsidRDefault="00DD548D" w:rsidP="00B108CE">
      <w:pPr>
        <w:autoSpaceDE/>
        <w:autoSpaceDN/>
        <w:adjustRightInd/>
        <w:rPr>
          <w:rFonts w:eastAsia="Times New Roman" w:cs="Times New Roman"/>
          <w:sz w:val="22"/>
          <w:szCs w:val="22"/>
        </w:rPr>
      </w:pPr>
      <w:r w:rsidRPr="009B3714">
        <w:rPr>
          <w:rFonts w:cs="Times New Roman"/>
          <w:sz w:val="22"/>
          <w:szCs w:val="22"/>
        </w:rPr>
        <w:t xml:space="preserve">Oji-Okoro, I. (2010). </w:t>
      </w:r>
      <w:proofErr w:type="gramStart"/>
      <w:r w:rsidRPr="009B3714">
        <w:rPr>
          <w:rFonts w:cs="Times New Roman"/>
          <w:sz w:val="22"/>
          <w:szCs w:val="22"/>
        </w:rPr>
        <w:t xml:space="preserve">Relationship between FDI and </w:t>
      </w:r>
      <w:r w:rsidR="00E4058D" w:rsidRPr="009B3714">
        <w:rPr>
          <w:rFonts w:cs="Times New Roman"/>
          <w:sz w:val="22"/>
          <w:szCs w:val="22"/>
        </w:rPr>
        <w:t>t</w:t>
      </w:r>
      <w:r w:rsidRPr="009B3714">
        <w:rPr>
          <w:rFonts w:cs="Times New Roman"/>
          <w:sz w:val="22"/>
          <w:szCs w:val="22"/>
        </w:rPr>
        <w:t xml:space="preserve">elecommunication </w:t>
      </w:r>
      <w:r w:rsidR="00E4058D" w:rsidRPr="009B3714">
        <w:rPr>
          <w:rFonts w:cs="Times New Roman"/>
          <w:sz w:val="22"/>
          <w:szCs w:val="22"/>
        </w:rPr>
        <w:t>g</w:t>
      </w:r>
      <w:r w:rsidRPr="009B3714">
        <w:rPr>
          <w:rFonts w:cs="Times New Roman"/>
          <w:sz w:val="22"/>
          <w:szCs w:val="22"/>
        </w:rPr>
        <w:t>rowth in Nigeria.</w:t>
      </w:r>
      <w:proofErr w:type="gramEnd"/>
      <w:r w:rsidRPr="009B3714">
        <w:rPr>
          <w:rFonts w:cs="Times New Roman"/>
          <w:sz w:val="22"/>
          <w:szCs w:val="22"/>
        </w:rPr>
        <w:t xml:space="preserve"> Paper Presented At Proceedings of the 7th International Conference on Innovation &amp; Management. December 4th-5th, 2010. Wuhan, P.R. China, 430070.  pp. 1886-1892.</w:t>
      </w:r>
      <w:r w:rsidRPr="009B3714">
        <w:rPr>
          <w:rStyle w:val="apple-converted-space"/>
          <w:rFonts w:cs="Times New Roman"/>
          <w:sz w:val="22"/>
          <w:szCs w:val="22"/>
        </w:rPr>
        <w:t> </w:t>
      </w:r>
    </w:p>
    <w:p w:rsidR="006A4ECE" w:rsidRPr="009B3714" w:rsidRDefault="006A4ECE" w:rsidP="00B108CE">
      <w:pPr>
        <w:rPr>
          <w:rFonts w:cs="Times New Roman"/>
          <w:sz w:val="22"/>
          <w:szCs w:val="22"/>
        </w:rPr>
      </w:pPr>
    </w:p>
    <w:p w:rsidR="006A4ECE" w:rsidRPr="009B3714" w:rsidRDefault="006A4ECE" w:rsidP="00B108CE">
      <w:pPr>
        <w:rPr>
          <w:rFonts w:cs="Times New Roman"/>
          <w:sz w:val="22"/>
          <w:szCs w:val="22"/>
        </w:rPr>
      </w:pPr>
      <w:proofErr w:type="spellStart"/>
      <w:proofErr w:type="gramStart"/>
      <w:r w:rsidRPr="009B3714">
        <w:rPr>
          <w:rFonts w:cs="Times New Roman"/>
          <w:sz w:val="22"/>
          <w:szCs w:val="22"/>
        </w:rPr>
        <w:t>Okafor</w:t>
      </w:r>
      <w:proofErr w:type="spellEnd"/>
      <w:r w:rsidRPr="009B3714">
        <w:rPr>
          <w:rFonts w:cs="Times New Roman"/>
          <w:sz w:val="22"/>
          <w:szCs w:val="22"/>
        </w:rPr>
        <w:t xml:space="preserve">, C., </w:t>
      </w:r>
      <w:proofErr w:type="spellStart"/>
      <w:r w:rsidRPr="009B3714">
        <w:rPr>
          <w:rFonts w:cs="Times New Roman"/>
          <w:sz w:val="22"/>
          <w:szCs w:val="22"/>
        </w:rPr>
        <w:t>Ujah</w:t>
      </w:r>
      <w:proofErr w:type="spellEnd"/>
      <w:r w:rsidRPr="009B3714">
        <w:rPr>
          <w:rFonts w:cs="Times New Roman"/>
          <w:sz w:val="22"/>
          <w:szCs w:val="22"/>
        </w:rPr>
        <w:t xml:space="preserve">, N., </w:t>
      </w:r>
      <w:proofErr w:type="spellStart"/>
      <w:r w:rsidRPr="009B3714">
        <w:rPr>
          <w:rFonts w:cs="Times New Roman"/>
          <w:sz w:val="22"/>
          <w:szCs w:val="22"/>
        </w:rPr>
        <w:t>Elkassabgi</w:t>
      </w:r>
      <w:proofErr w:type="spellEnd"/>
      <w:r w:rsidRPr="009B3714">
        <w:rPr>
          <w:rFonts w:cs="Times New Roman"/>
          <w:sz w:val="22"/>
          <w:szCs w:val="22"/>
        </w:rPr>
        <w:t xml:space="preserve">, A. </w:t>
      </w:r>
      <w:r w:rsidR="00E4058D" w:rsidRPr="009B3714">
        <w:rPr>
          <w:rFonts w:cs="Times New Roman"/>
          <w:sz w:val="22"/>
          <w:szCs w:val="22"/>
        </w:rPr>
        <w:t>&amp;</w:t>
      </w:r>
      <w:r w:rsidRPr="009B3714">
        <w:rPr>
          <w:rFonts w:cs="Times New Roman"/>
          <w:sz w:val="22"/>
          <w:szCs w:val="22"/>
        </w:rPr>
        <w:t xml:space="preserve"> </w:t>
      </w:r>
      <w:proofErr w:type="spellStart"/>
      <w:r w:rsidRPr="009B3714">
        <w:rPr>
          <w:rFonts w:cs="Times New Roman"/>
          <w:sz w:val="22"/>
          <w:szCs w:val="22"/>
        </w:rPr>
        <w:t>Ajalie</w:t>
      </w:r>
      <w:proofErr w:type="spellEnd"/>
      <w:r w:rsidRPr="009B3714">
        <w:rPr>
          <w:rFonts w:cs="Times New Roman"/>
          <w:sz w:val="22"/>
          <w:szCs w:val="22"/>
        </w:rPr>
        <w:t>, W. (2011).</w:t>
      </w:r>
      <w:proofErr w:type="gramEnd"/>
      <w:r w:rsidRPr="009B3714">
        <w:rPr>
          <w:rFonts w:cs="Times New Roman"/>
          <w:sz w:val="22"/>
          <w:szCs w:val="22"/>
        </w:rPr>
        <w:t xml:space="preserve"> Democracy and FDI Inflow: Evidence of </w:t>
      </w:r>
      <w:r w:rsidR="00E4058D" w:rsidRPr="009B3714">
        <w:rPr>
          <w:rFonts w:cs="Times New Roman"/>
          <w:sz w:val="22"/>
          <w:szCs w:val="22"/>
        </w:rPr>
        <w:t>d</w:t>
      </w:r>
      <w:r w:rsidRPr="009B3714">
        <w:rPr>
          <w:rFonts w:cs="Times New Roman"/>
          <w:sz w:val="22"/>
          <w:szCs w:val="22"/>
        </w:rPr>
        <w:t xml:space="preserve">iscordance in Sub-Saharan Africa. </w:t>
      </w:r>
      <w:proofErr w:type="gramStart"/>
      <w:r w:rsidRPr="009B3714">
        <w:rPr>
          <w:rFonts w:cs="Times New Roman"/>
          <w:sz w:val="22"/>
          <w:szCs w:val="22"/>
        </w:rPr>
        <w:t>International Research Journal of Finance and Economics</w:t>
      </w:r>
      <w:r w:rsidR="00E4058D" w:rsidRPr="009B3714">
        <w:rPr>
          <w:rFonts w:cs="Times New Roman"/>
          <w:sz w:val="22"/>
          <w:szCs w:val="22"/>
        </w:rPr>
        <w:t>,</w:t>
      </w:r>
      <w:r w:rsidRPr="009B3714">
        <w:rPr>
          <w:rFonts w:cs="Times New Roman"/>
          <w:sz w:val="22"/>
          <w:szCs w:val="22"/>
        </w:rPr>
        <w:t xml:space="preserve"> 63.</w:t>
      </w:r>
      <w:proofErr w:type="gramEnd"/>
      <w:r w:rsidRPr="009B3714">
        <w:rPr>
          <w:rFonts w:cs="Times New Roman"/>
          <w:sz w:val="22"/>
          <w:szCs w:val="22"/>
        </w:rPr>
        <w:t xml:space="preserve"> </w:t>
      </w:r>
      <w:proofErr w:type="gramStart"/>
      <w:r w:rsidRPr="009B3714">
        <w:rPr>
          <w:rFonts w:cs="Times New Roman"/>
          <w:sz w:val="22"/>
          <w:szCs w:val="22"/>
        </w:rPr>
        <w:t>140-149.</w:t>
      </w:r>
      <w:proofErr w:type="gramEnd"/>
      <w:r w:rsidRPr="009B3714">
        <w:rPr>
          <w:rFonts w:cs="Times New Roman"/>
          <w:sz w:val="22"/>
          <w:szCs w:val="22"/>
        </w:rPr>
        <w:t xml:space="preserve"> </w:t>
      </w:r>
    </w:p>
    <w:p w:rsidR="00B05E49" w:rsidRPr="009B3714" w:rsidRDefault="00B05E49" w:rsidP="00B108CE">
      <w:pPr>
        <w:rPr>
          <w:rFonts w:cs="Times New Roman"/>
          <w:sz w:val="22"/>
          <w:szCs w:val="22"/>
        </w:rPr>
      </w:pPr>
    </w:p>
    <w:p w:rsidR="00B05E49" w:rsidRPr="009B3714" w:rsidRDefault="00B05E49" w:rsidP="00B108CE">
      <w:pPr>
        <w:rPr>
          <w:rFonts w:cs="Times New Roman"/>
          <w:sz w:val="22"/>
          <w:szCs w:val="22"/>
        </w:rPr>
      </w:pPr>
      <w:proofErr w:type="gramStart"/>
      <w:r w:rsidRPr="009B3714">
        <w:rPr>
          <w:rFonts w:cs="Times New Roman"/>
          <w:sz w:val="22"/>
          <w:szCs w:val="22"/>
        </w:rPr>
        <w:t>Osabutey, E.L. &amp; Debrah, Y.A. (2012).</w:t>
      </w:r>
      <w:proofErr w:type="gramEnd"/>
      <w:r w:rsidRPr="009B3714">
        <w:rPr>
          <w:rFonts w:cs="Times New Roman"/>
          <w:sz w:val="22"/>
          <w:szCs w:val="22"/>
        </w:rPr>
        <w:t xml:space="preserve"> Foreign direct investment and technology transfer policies in Africa: A review of the Ghanaian experience. </w:t>
      </w:r>
      <w:r w:rsidR="009F276C" w:rsidRPr="009B3714">
        <w:rPr>
          <w:rFonts w:cs="Times New Roman"/>
          <w:sz w:val="22"/>
          <w:szCs w:val="22"/>
        </w:rPr>
        <w:t xml:space="preserve">. </w:t>
      </w:r>
      <w:r w:rsidR="009F276C" w:rsidRPr="009B3714">
        <w:rPr>
          <w:rFonts w:cs="Times New Roman"/>
          <w:sz w:val="22"/>
          <w:szCs w:val="22"/>
          <w:lang w:val="en-US"/>
        </w:rPr>
        <w:t>Thunderbird International Business Review,</w:t>
      </w:r>
      <w:r w:rsidR="009F276C" w:rsidRPr="009B3714">
        <w:rPr>
          <w:rFonts w:cs="Times New Roman"/>
          <w:sz w:val="22"/>
          <w:szCs w:val="22"/>
        </w:rPr>
        <w:t xml:space="preserve"> 54(4), 441-456.</w:t>
      </w:r>
    </w:p>
    <w:p w:rsidR="0024538C" w:rsidRPr="009B3714" w:rsidRDefault="0024538C" w:rsidP="00B108CE">
      <w:pPr>
        <w:rPr>
          <w:rFonts w:cs="Times New Roman"/>
          <w:sz w:val="22"/>
          <w:szCs w:val="22"/>
        </w:rPr>
      </w:pPr>
    </w:p>
    <w:p w:rsidR="0024538C" w:rsidRPr="009B3714" w:rsidRDefault="0024538C" w:rsidP="00621821">
      <w:pPr>
        <w:autoSpaceDE/>
        <w:autoSpaceDN/>
        <w:adjustRightInd/>
        <w:spacing w:line="240" w:lineRule="auto"/>
        <w:rPr>
          <w:rFonts w:eastAsia="Times New Roman" w:cs="Times New Roman"/>
          <w:sz w:val="22"/>
          <w:szCs w:val="22"/>
          <w:lang w:eastAsia="en-US"/>
        </w:rPr>
      </w:pPr>
      <w:r w:rsidRPr="009B3714">
        <w:rPr>
          <w:rFonts w:eastAsia="Times New Roman" w:cs="Times New Roman"/>
          <w:sz w:val="22"/>
          <w:szCs w:val="22"/>
          <w:lang w:eastAsia="en-US"/>
        </w:rPr>
        <w:t>Peng, M</w:t>
      </w:r>
      <w:r w:rsidR="00621821" w:rsidRPr="009B3714">
        <w:rPr>
          <w:rFonts w:eastAsia="Times New Roman" w:cs="Times New Roman"/>
          <w:sz w:val="22"/>
          <w:szCs w:val="22"/>
          <w:lang w:eastAsia="en-US"/>
        </w:rPr>
        <w:t>.</w:t>
      </w:r>
      <w:r w:rsidRPr="009B3714">
        <w:rPr>
          <w:rFonts w:eastAsia="Times New Roman" w:cs="Times New Roman"/>
          <w:sz w:val="22"/>
          <w:szCs w:val="22"/>
          <w:lang w:eastAsia="en-US"/>
        </w:rPr>
        <w:t>W</w:t>
      </w:r>
      <w:r w:rsidR="00621821" w:rsidRPr="009B3714">
        <w:rPr>
          <w:rFonts w:eastAsia="Times New Roman" w:cs="Times New Roman"/>
          <w:sz w:val="22"/>
          <w:szCs w:val="22"/>
          <w:lang w:eastAsia="en-US"/>
        </w:rPr>
        <w:t>.</w:t>
      </w:r>
      <w:r w:rsidRPr="009B3714">
        <w:rPr>
          <w:rFonts w:eastAsia="Times New Roman" w:cs="Times New Roman"/>
          <w:sz w:val="22"/>
          <w:szCs w:val="22"/>
          <w:lang w:eastAsia="en-US"/>
        </w:rPr>
        <w:t>, Wang, D</w:t>
      </w:r>
      <w:r w:rsidR="00621821" w:rsidRPr="009B3714">
        <w:rPr>
          <w:rFonts w:eastAsia="Times New Roman" w:cs="Times New Roman"/>
          <w:sz w:val="22"/>
          <w:szCs w:val="22"/>
          <w:lang w:eastAsia="en-US"/>
        </w:rPr>
        <w:t>.</w:t>
      </w:r>
      <w:r w:rsidRPr="009B3714">
        <w:rPr>
          <w:rFonts w:eastAsia="Times New Roman" w:cs="Times New Roman"/>
          <w:sz w:val="22"/>
          <w:szCs w:val="22"/>
          <w:lang w:eastAsia="en-US"/>
        </w:rPr>
        <w:t>Y</w:t>
      </w:r>
      <w:r w:rsidR="00621821" w:rsidRPr="009B3714">
        <w:rPr>
          <w:rFonts w:eastAsia="Times New Roman" w:cs="Times New Roman"/>
          <w:sz w:val="22"/>
          <w:szCs w:val="22"/>
          <w:lang w:eastAsia="en-US"/>
        </w:rPr>
        <w:t>.</w:t>
      </w:r>
      <w:r w:rsidRPr="009B3714">
        <w:rPr>
          <w:rFonts w:eastAsia="Times New Roman" w:cs="Times New Roman"/>
          <w:sz w:val="22"/>
          <w:szCs w:val="22"/>
          <w:lang w:eastAsia="en-US"/>
        </w:rPr>
        <w:t>L</w:t>
      </w:r>
      <w:r w:rsidR="00621821" w:rsidRPr="009B3714">
        <w:rPr>
          <w:rFonts w:eastAsia="Times New Roman" w:cs="Times New Roman"/>
          <w:sz w:val="22"/>
          <w:szCs w:val="22"/>
          <w:lang w:eastAsia="en-US"/>
        </w:rPr>
        <w:t>.</w:t>
      </w:r>
      <w:r w:rsidRPr="009B3714">
        <w:rPr>
          <w:rFonts w:eastAsia="Times New Roman" w:cs="Times New Roman"/>
          <w:sz w:val="22"/>
          <w:szCs w:val="22"/>
          <w:lang w:eastAsia="en-US"/>
        </w:rPr>
        <w:t xml:space="preserve"> and Jiang, Y</w:t>
      </w:r>
      <w:r w:rsidR="00621821" w:rsidRPr="009B3714">
        <w:rPr>
          <w:rFonts w:eastAsia="Times New Roman" w:cs="Times New Roman"/>
          <w:sz w:val="22"/>
          <w:szCs w:val="22"/>
          <w:lang w:eastAsia="en-US"/>
        </w:rPr>
        <w:t xml:space="preserve">. </w:t>
      </w:r>
      <w:r w:rsidRPr="009B3714">
        <w:rPr>
          <w:rFonts w:eastAsia="Times New Roman" w:cs="Times New Roman"/>
          <w:sz w:val="22"/>
          <w:szCs w:val="22"/>
          <w:lang w:eastAsia="en-US"/>
        </w:rPr>
        <w:t xml:space="preserve">(2008) </w:t>
      </w:r>
      <w:proofErr w:type="gramStart"/>
      <w:r w:rsidRPr="009B3714">
        <w:rPr>
          <w:rFonts w:eastAsia="Times New Roman" w:cs="Times New Roman"/>
          <w:sz w:val="22"/>
          <w:szCs w:val="22"/>
          <w:lang w:eastAsia="en-US"/>
        </w:rPr>
        <w:t>An</w:t>
      </w:r>
      <w:proofErr w:type="gramEnd"/>
      <w:r w:rsidRPr="009B3714">
        <w:rPr>
          <w:rFonts w:eastAsia="Times New Roman" w:cs="Times New Roman"/>
          <w:sz w:val="22"/>
          <w:szCs w:val="22"/>
          <w:lang w:eastAsia="en-US"/>
        </w:rPr>
        <w:t xml:space="preserve"> institut</w:t>
      </w:r>
      <w:r w:rsidR="00621821" w:rsidRPr="009B3714">
        <w:rPr>
          <w:rFonts w:eastAsia="Times New Roman" w:cs="Times New Roman"/>
          <w:sz w:val="22"/>
          <w:szCs w:val="22"/>
          <w:lang w:eastAsia="en-US"/>
        </w:rPr>
        <w:t xml:space="preserve">ion-based view of international </w:t>
      </w:r>
      <w:r w:rsidRPr="009B3714">
        <w:rPr>
          <w:rFonts w:eastAsia="Times New Roman" w:cs="Times New Roman"/>
          <w:sz w:val="22"/>
          <w:szCs w:val="22"/>
          <w:lang w:eastAsia="en-US"/>
        </w:rPr>
        <w:t xml:space="preserve">business strategy: a focus on emerging economies. </w:t>
      </w:r>
      <w:proofErr w:type="gramStart"/>
      <w:r w:rsidRPr="009B3714">
        <w:rPr>
          <w:rFonts w:eastAsia="Times New Roman" w:cs="Times New Roman"/>
          <w:i/>
          <w:sz w:val="22"/>
          <w:szCs w:val="22"/>
          <w:lang w:eastAsia="en-US"/>
        </w:rPr>
        <w:t>Journal of International Business Studies</w:t>
      </w:r>
      <w:r w:rsidRPr="009B3714">
        <w:rPr>
          <w:rFonts w:eastAsia="Times New Roman" w:cs="Times New Roman"/>
          <w:sz w:val="22"/>
          <w:szCs w:val="22"/>
          <w:lang w:eastAsia="en-US"/>
        </w:rPr>
        <w:t xml:space="preserve">, </w:t>
      </w:r>
      <w:r w:rsidRPr="009B3714">
        <w:rPr>
          <w:rFonts w:eastAsia="Times New Roman" w:cs="Times New Roman"/>
          <w:b/>
          <w:sz w:val="22"/>
          <w:szCs w:val="22"/>
          <w:lang w:eastAsia="en-US"/>
        </w:rPr>
        <w:t>39</w:t>
      </w:r>
      <w:r w:rsidRPr="009B3714">
        <w:rPr>
          <w:rFonts w:eastAsia="Times New Roman" w:cs="Times New Roman"/>
          <w:sz w:val="22"/>
          <w:szCs w:val="22"/>
          <w:lang w:eastAsia="en-US"/>
        </w:rPr>
        <w:t>, 920-36.</w:t>
      </w:r>
      <w:proofErr w:type="gramEnd"/>
    </w:p>
    <w:p w:rsidR="006A4ECE" w:rsidRPr="009B3714" w:rsidRDefault="006A4ECE" w:rsidP="00B108CE">
      <w:pPr>
        <w:rPr>
          <w:rFonts w:cs="Times New Roman"/>
          <w:sz w:val="22"/>
          <w:szCs w:val="22"/>
        </w:rPr>
      </w:pPr>
    </w:p>
    <w:p w:rsidR="00B27D0D" w:rsidRPr="009B3714" w:rsidRDefault="006A4ECE" w:rsidP="00B108CE">
      <w:pPr>
        <w:rPr>
          <w:rStyle w:val="Hyperlink"/>
          <w:rFonts w:cs="Times New Roman"/>
          <w:color w:val="auto"/>
          <w:sz w:val="22"/>
          <w:szCs w:val="22"/>
        </w:rPr>
      </w:pPr>
      <w:r w:rsidRPr="009B3714">
        <w:rPr>
          <w:rFonts w:cs="Times New Roman"/>
          <w:sz w:val="22"/>
          <w:szCs w:val="22"/>
        </w:rPr>
        <w:t>Political Risk Services Group</w:t>
      </w:r>
      <w:r w:rsidR="00E829CF">
        <w:rPr>
          <w:rFonts w:cs="Times New Roman"/>
          <w:sz w:val="22"/>
          <w:szCs w:val="22"/>
        </w:rPr>
        <w:t xml:space="preserve"> (PRS)</w:t>
      </w:r>
      <w:r w:rsidRPr="009B3714">
        <w:rPr>
          <w:rFonts w:cs="Times New Roman"/>
          <w:sz w:val="22"/>
          <w:szCs w:val="22"/>
        </w:rPr>
        <w:t xml:space="preserve">. </w:t>
      </w:r>
      <w:proofErr w:type="gramStart"/>
      <w:r w:rsidRPr="009B3714">
        <w:rPr>
          <w:rFonts w:cs="Times New Roman"/>
          <w:sz w:val="22"/>
          <w:szCs w:val="22"/>
        </w:rPr>
        <w:t>(201</w:t>
      </w:r>
      <w:r w:rsidR="00D22920" w:rsidRPr="009B3714">
        <w:rPr>
          <w:rFonts w:cs="Times New Roman"/>
          <w:sz w:val="22"/>
          <w:szCs w:val="22"/>
        </w:rPr>
        <w:t>4</w:t>
      </w:r>
      <w:r w:rsidRPr="009B3714">
        <w:rPr>
          <w:rFonts w:cs="Times New Roman"/>
          <w:sz w:val="22"/>
          <w:szCs w:val="22"/>
        </w:rPr>
        <w:t xml:space="preserve">). </w:t>
      </w:r>
      <w:r w:rsidR="00D22920" w:rsidRPr="009B3714">
        <w:rPr>
          <w:rFonts w:cs="Times New Roman"/>
          <w:bCs/>
          <w:sz w:val="22"/>
          <w:szCs w:val="22"/>
        </w:rPr>
        <w:t>International Country Risk Guide Methodology</w:t>
      </w:r>
      <w:r w:rsidRPr="009B3714">
        <w:rPr>
          <w:rFonts w:cs="Times New Roman"/>
          <w:sz w:val="22"/>
          <w:szCs w:val="22"/>
        </w:rPr>
        <w:t>.</w:t>
      </w:r>
      <w:proofErr w:type="gramEnd"/>
      <w:r w:rsidRPr="009B3714">
        <w:rPr>
          <w:rFonts w:cs="Times New Roman"/>
          <w:sz w:val="22"/>
          <w:szCs w:val="22"/>
        </w:rPr>
        <w:t xml:space="preserve"> </w:t>
      </w:r>
      <w:proofErr w:type="gramStart"/>
      <w:r w:rsidR="00C32D3B" w:rsidRPr="009B3714">
        <w:rPr>
          <w:rFonts w:cs="Times New Roman"/>
          <w:sz w:val="22"/>
          <w:szCs w:val="22"/>
        </w:rPr>
        <w:t>(Online)</w:t>
      </w:r>
      <w:r w:rsidR="00D22920" w:rsidRPr="009B3714">
        <w:rPr>
          <w:rFonts w:cs="Times New Roman"/>
          <w:sz w:val="22"/>
          <w:szCs w:val="22"/>
        </w:rPr>
        <w:t>.</w:t>
      </w:r>
      <w:proofErr w:type="gramEnd"/>
      <w:r w:rsidR="00C32D3B" w:rsidRPr="009B3714">
        <w:rPr>
          <w:rFonts w:cs="Times New Roman"/>
          <w:sz w:val="22"/>
          <w:szCs w:val="22"/>
        </w:rPr>
        <w:t xml:space="preserve"> </w:t>
      </w:r>
      <w:r w:rsidR="00D22920" w:rsidRPr="009B3714">
        <w:rPr>
          <w:rFonts w:cs="Times New Roman"/>
          <w:sz w:val="22"/>
          <w:szCs w:val="22"/>
        </w:rPr>
        <w:t>Available</w:t>
      </w:r>
      <w:r w:rsidR="00E4058D" w:rsidRPr="009B3714">
        <w:rPr>
          <w:rFonts w:cs="Times New Roman"/>
          <w:sz w:val="22"/>
          <w:szCs w:val="22"/>
        </w:rPr>
        <w:t xml:space="preserve"> </w:t>
      </w:r>
      <w:r w:rsidR="00B27D0D" w:rsidRPr="009B3714">
        <w:rPr>
          <w:rFonts w:cs="Times New Roman"/>
          <w:sz w:val="22"/>
          <w:szCs w:val="22"/>
        </w:rPr>
        <w:t xml:space="preserve">April, 23, 2014, </w:t>
      </w:r>
      <w:r w:rsidRPr="009B3714">
        <w:rPr>
          <w:rFonts w:cs="Times New Roman"/>
          <w:sz w:val="22"/>
          <w:szCs w:val="22"/>
        </w:rPr>
        <w:t xml:space="preserve">from: </w:t>
      </w:r>
      <w:hyperlink r:id="rId15" w:history="1">
        <w:r w:rsidR="00D22920" w:rsidRPr="009B3714">
          <w:rPr>
            <w:rStyle w:val="Hyperlink"/>
            <w:rFonts w:cs="Times New Roman"/>
            <w:color w:val="auto"/>
            <w:sz w:val="22"/>
            <w:szCs w:val="22"/>
          </w:rPr>
          <w:t>http://www.prsgroup.com/about-us/our-two-methodologies/icrg</w:t>
        </w:r>
      </w:hyperlink>
    </w:p>
    <w:p w:rsidR="00402BE1" w:rsidRPr="009B3714" w:rsidRDefault="00402BE1" w:rsidP="00B108CE">
      <w:pPr>
        <w:rPr>
          <w:rFonts w:cs="Times New Roman"/>
          <w:sz w:val="22"/>
          <w:szCs w:val="22"/>
        </w:rPr>
      </w:pPr>
    </w:p>
    <w:p w:rsidR="006A4ECE" w:rsidRPr="009B3714" w:rsidRDefault="006A4ECE" w:rsidP="00B108CE">
      <w:pPr>
        <w:rPr>
          <w:rFonts w:cs="Times New Roman"/>
          <w:sz w:val="22"/>
          <w:szCs w:val="22"/>
        </w:rPr>
      </w:pPr>
      <w:proofErr w:type="spellStart"/>
      <w:proofErr w:type="gramStart"/>
      <w:r w:rsidRPr="009B3714">
        <w:rPr>
          <w:rFonts w:cs="Times New Roman"/>
          <w:iCs/>
          <w:sz w:val="22"/>
          <w:szCs w:val="22"/>
        </w:rPr>
        <w:t>Sauvant</w:t>
      </w:r>
      <w:proofErr w:type="spellEnd"/>
      <w:r w:rsidRPr="009B3714">
        <w:rPr>
          <w:rFonts w:cs="Times New Roman"/>
          <w:iCs/>
          <w:sz w:val="22"/>
          <w:szCs w:val="22"/>
        </w:rPr>
        <w:t xml:space="preserve">, K., </w:t>
      </w:r>
      <w:proofErr w:type="spellStart"/>
      <w:r w:rsidRPr="009B3714">
        <w:rPr>
          <w:rFonts w:cs="Times New Roman"/>
          <w:iCs/>
          <w:sz w:val="22"/>
          <w:szCs w:val="22"/>
        </w:rPr>
        <w:t>Maschek</w:t>
      </w:r>
      <w:proofErr w:type="spellEnd"/>
      <w:r w:rsidRPr="009B3714">
        <w:rPr>
          <w:rFonts w:cs="Times New Roman"/>
          <w:iCs/>
          <w:sz w:val="22"/>
          <w:szCs w:val="22"/>
        </w:rPr>
        <w:t xml:space="preserve">, W. </w:t>
      </w:r>
      <w:r w:rsidR="00E4058D" w:rsidRPr="009B3714">
        <w:rPr>
          <w:rFonts w:cs="Times New Roman"/>
          <w:iCs/>
          <w:sz w:val="22"/>
          <w:szCs w:val="22"/>
        </w:rPr>
        <w:t>&amp;</w:t>
      </w:r>
      <w:r w:rsidRPr="009B3714">
        <w:rPr>
          <w:rFonts w:cs="Times New Roman"/>
          <w:iCs/>
          <w:sz w:val="22"/>
          <w:szCs w:val="22"/>
        </w:rPr>
        <w:t xml:space="preserve"> McAllister, G. (2009).</w:t>
      </w:r>
      <w:proofErr w:type="gramEnd"/>
      <w:r w:rsidRPr="009B3714">
        <w:rPr>
          <w:rFonts w:cs="Times New Roman"/>
          <w:i/>
          <w:iCs/>
          <w:sz w:val="22"/>
          <w:szCs w:val="22"/>
        </w:rPr>
        <w:t xml:space="preserve"> </w:t>
      </w:r>
      <w:r w:rsidRPr="009B3714">
        <w:rPr>
          <w:rFonts w:cs="Times New Roman"/>
          <w:sz w:val="22"/>
          <w:szCs w:val="22"/>
        </w:rPr>
        <w:t xml:space="preserve">Foreign </w:t>
      </w:r>
      <w:r w:rsidR="00E4058D" w:rsidRPr="009B3714">
        <w:rPr>
          <w:rFonts w:cs="Times New Roman"/>
          <w:sz w:val="22"/>
          <w:szCs w:val="22"/>
        </w:rPr>
        <w:t>d</w:t>
      </w:r>
      <w:r w:rsidRPr="009B3714">
        <w:rPr>
          <w:rFonts w:cs="Times New Roman"/>
          <w:sz w:val="22"/>
          <w:szCs w:val="22"/>
        </w:rPr>
        <w:t xml:space="preserve">irect </w:t>
      </w:r>
      <w:r w:rsidR="00E4058D" w:rsidRPr="009B3714">
        <w:rPr>
          <w:rFonts w:cs="Times New Roman"/>
          <w:sz w:val="22"/>
          <w:szCs w:val="22"/>
        </w:rPr>
        <w:t>i</w:t>
      </w:r>
      <w:r w:rsidRPr="009B3714">
        <w:rPr>
          <w:rFonts w:cs="Times New Roman"/>
          <w:sz w:val="22"/>
          <w:szCs w:val="22"/>
        </w:rPr>
        <w:t xml:space="preserve">nvestment by </w:t>
      </w:r>
      <w:r w:rsidR="00E4058D" w:rsidRPr="009B3714">
        <w:rPr>
          <w:rFonts w:cs="Times New Roman"/>
          <w:sz w:val="22"/>
          <w:szCs w:val="22"/>
        </w:rPr>
        <w:t>e</w:t>
      </w:r>
      <w:r w:rsidRPr="009B3714">
        <w:rPr>
          <w:rFonts w:cs="Times New Roman"/>
          <w:sz w:val="22"/>
          <w:szCs w:val="22"/>
        </w:rPr>
        <w:t xml:space="preserve">merging </w:t>
      </w:r>
      <w:r w:rsidR="00E4058D" w:rsidRPr="009B3714">
        <w:rPr>
          <w:rFonts w:cs="Times New Roman"/>
          <w:sz w:val="22"/>
          <w:szCs w:val="22"/>
        </w:rPr>
        <w:t>m</w:t>
      </w:r>
      <w:r w:rsidRPr="009B3714">
        <w:rPr>
          <w:rFonts w:cs="Times New Roman"/>
          <w:sz w:val="22"/>
          <w:szCs w:val="22"/>
        </w:rPr>
        <w:t xml:space="preserve">arket </w:t>
      </w:r>
      <w:r w:rsidR="00E4058D" w:rsidRPr="009B3714">
        <w:rPr>
          <w:rFonts w:cs="Times New Roman"/>
          <w:sz w:val="22"/>
          <w:szCs w:val="22"/>
        </w:rPr>
        <w:t>m</w:t>
      </w:r>
      <w:r w:rsidRPr="009B3714">
        <w:rPr>
          <w:rFonts w:cs="Times New Roman"/>
          <w:sz w:val="22"/>
          <w:szCs w:val="22"/>
        </w:rPr>
        <w:t xml:space="preserve">ultinational </w:t>
      </w:r>
      <w:r w:rsidR="00E4058D" w:rsidRPr="009B3714">
        <w:rPr>
          <w:rFonts w:cs="Times New Roman"/>
          <w:sz w:val="22"/>
          <w:szCs w:val="22"/>
        </w:rPr>
        <w:t>e</w:t>
      </w:r>
      <w:r w:rsidRPr="009B3714">
        <w:rPr>
          <w:rFonts w:cs="Times New Roman"/>
          <w:sz w:val="22"/>
          <w:szCs w:val="22"/>
        </w:rPr>
        <w:t>nterprises</w:t>
      </w:r>
      <w:r w:rsidR="00E4058D" w:rsidRPr="009B3714">
        <w:rPr>
          <w:rFonts w:cs="Times New Roman"/>
          <w:sz w:val="22"/>
          <w:szCs w:val="22"/>
        </w:rPr>
        <w:t>:</w:t>
      </w:r>
      <w:r w:rsidRPr="009B3714">
        <w:rPr>
          <w:rFonts w:cs="Times New Roman"/>
          <w:sz w:val="22"/>
          <w:szCs w:val="22"/>
        </w:rPr>
        <w:t xml:space="preserve"> The </w:t>
      </w:r>
      <w:r w:rsidR="00E4058D" w:rsidRPr="009B3714">
        <w:rPr>
          <w:rFonts w:cs="Times New Roman"/>
          <w:sz w:val="22"/>
          <w:szCs w:val="22"/>
        </w:rPr>
        <w:t>i</w:t>
      </w:r>
      <w:r w:rsidRPr="009B3714">
        <w:rPr>
          <w:rFonts w:cs="Times New Roman"/>
          <w:sz w:val="22"/>
          <w:szCs w:val="22"/>
        </w:rPr>
        <w:t xml:space="preserve">mpact of </w:t>
      </w:r>
      <w:r w:rsidR="00E4058D" w:rsidRPr="009B3714">
        <w:rPr>
          <w:rFonts w:cs="Times New Roman"/>
          <w:sz w:val="22"/>
          <w:szCs w:val="22"/>
        </w:rPr>
        <w:t>t</w:t>
      </w:r>
      <w:r w:rsidRPr="009B3714">
        <w:rPr>
          <w:rFonts w:cs="Times New Roman"/>
          <w:sz w:val="22"/>
          <w:szCs w:val="22"/>
        </w:rPr>
        <w:t xml:space="preserve">he </w:t>
      </w:r>
      <w:r w:rsidR="00E4058D" w:rsidRPr="009B3714">
        <w:rPr>
          <w:rFonts w:cs="Times New Roman"/>
          <w:sz w:val="22"/>
          <w:szCs w:val="22"/>
        </w:rPr>
        <w:t>f</w:t>
      </w:r>
      <w:r w:rsidRPr="009B3714">
        <w:rPr>
          <w:rFonts w:cs="Times New Roman"/>
          <w:sz w:val="22"/>
          <w:szCs w:val="22"/>
        </w:rPr>
        <w:t xml:space="preserve">inancial </w:t>
      </w:r>
      <w:r w:rsidR="00E4058D" w:rsidRPr="009B3714">
        <w:rPr>
          <w:rFonts w:cs="Times New Roman"/>
          <w:sz w:val="22"/>
          <w:szCs w:val="22"/>
        </w:rPr>
        <w:t>c</w:t>
      </w:r>
      <w:r w:rsidRPr="009B3714">
        <w:rPr>
          <w:rFonts w:cs="Times New Roman"/>
          <w:sz w:val="22"/>
          <w:szCs w:val="22"/>
        </w:rPr>
        <w:t xml:space="preserve">risis </w:t>
      </w:r>
      <w:r w:rsidR="00E4058D" w:rsidRPr="009B3714">
        <w:rPr>
          <w:rFonts w:cs="Times New Roman"/>
          <w:sz w:val="22"/>
          <w:szCs w:val="22"/>
        </w:rPr>
        <w:t>a</w:t>
      </w:r>
      <w:r w:rsidRPr="009B3714">
        <w:rPr>
          <w:rFonts w:cs="Times New Roman"/>
          <w:sz w:val="22"/>
          <w:szCs w:val="22"/>
        </w:rPr>
        <w:t xml:space="preserve">nd </w:t>
      </w:r>
      <w:r w:rsidR="00E4058D" w:rsidRPr="009B3714">
        <w:rPr>
          <w:rFonts w:cs="Times New Roman"/>
          <w:sz w:val="22"/>
          <w:szCs w:val="22"/>
        </w:rPr>
        <w:t>r</w:t>
      </w:r>
      <w:r w:rsidRPr="009B3714">
        <w:rPr>
          <w:rFonts w:cs="Times New Roman"/>
          <w:sz w:val="22"/>
          <w:szCs w:val="22"/>
        </w:rPr>
        <w:t xml:space="preserve">ecession </w:t>
      </w:r>
      <w:r w:rsidR="00E4058D" w:rsidRPr="009B3714">
        <w:rPr>
          <w:rFonts w:cs="Times New Roman"/>
          <w:sz w:val="22"/>
          <w:szCs w:val="22"/>
        </w:rPr>
        <w:t>a</w:t>
      </w:r>
      <w:r w:rsidRPr="009B3714">
        <w:rPr>
          <w:rFonts w:cs="Times New Roman"/>
          <w:sz w:val="22"/>
          <w:szCs w:val="22"/>
        </w:rPr>
        <w:t xml:space="preserve">nd </w:t>
      </w:r>
      <w:r w:rsidR="00E4058D" w:rsidRPr="009B3714">
        <w:rPr>
          <w:rFonts w:cs="Times New Roman"/>
          <w:sz w:val="22"/>
          <w:szCs w:val="22"/>
        </w:rPr>
        <w:t>c</w:t>
      </w:r>
      <w:r w:rsidRPr="009B3714">
        <w:rPr>
          <w:rFonts w:cs="Times New Roman"/>
          <w:sz w:val="22"/>
          <w:szCs w:val="22"/>
        </w:rPr>
        <w:t xml:space="preserve">hallenges </w:t>
      </w:r>
      <w:r w:rsidR="00E4058D" w:rsidRPr="009B3714">
        <w:rPr>
          <w:rFonts w:cs="Times New Roman"/>
          <w:sz w:val="22"/>
          <w:szCs w:val="22"/>
        </w:rPr>
        <w:t>a</w:t>
      </w:r>
      <w:r w:rsidR="009766C7" w:rsidRPr="009B3714">
        <w:rPr>
          <w:rFonts w:cs="Times New Roman"/>
          <w:sz w:val="22"/>
          <w:szCs w:val="22"/>
        </w:rPr>
        <w:t>head</w:t>
      </w:r>
      <w:r w:rsidRPr="009B3714">
        <w:rPr>
          <w:rFonts w:cs="Times New Roman"/>
          <w:sz w:val="22"/>
          <w:szCs w:val="22"/>
        </w:rPr>
        <w:t xml:space="preserve">. </w:t>
      </w:r>
      <w:proofErr w:type="gramStart"/>
      <w:r w:rsidRPr="009B3714">
        <w:rPr>
          <w:rFonts w:cs="Times New Roman"/>
          <w:iCs/>
          <w:sz w:val="22"/>
          <w:szCs w:val="22"/>
        </w:rPr>
        <w:t xml:space="preserve">OECD Global Forum on International Investment </w:t>
      </w:r>
      <w:r w:rsidR="009766C7" w:rsidRPr="009B3714">
        <w:rPr>
          <w:rFonts w:cs="Times New Roman"/>
          <w:iCs/>
          <w:sz w:val="22"/>
          <w:szCs w:val="22"/>
        </w:rPr>
        <w:t>VIII</w:t>
      </w:r>
      <w:r w:rsidR="009766C7" w:rsidRPr="009B3714">
        <w:rPr>
          <w:rFonts w:cs="Times New Roman"/>
          <w:sz w:val="22"/>
          <w:szCs w:val="22"/>
        </w:rPr>
        <w:t>,</w:t>
      </w:r>
      <w:r w:rsidRPr="009B3714">
        <w:rPr>
          <w:rFonts w:cs="Times New Roman"/>
          <w:sz w:val="22"/>
          <w:szCs w:val="22"/>
        </w:rPr>
        <w:t xml:space="preserve"> </w:t>
      </w:r>
      <w:r w:rsidR="009766C7" w:rsidRPr="009B3714">
        <w:rPr>
          <w:rFonts w:cs="Times New Roman"/>
          <w:sz w:val="22"/>
          <w:szCs w:val="22"/>
        </w:rPr>
        <w:t>OECD Investment Division.</w:t>
      </w:r>
      <w:proofErr w:type="gramEnd"/>
      <w:r w:rsidRPr="009B3714">
        <w:rPr>
          <w:rFonts w:cs="Times New Roman"/>
          <w:sz w:val="22"/>
          <w:szCs w:val="22"/>
        </w:rPr>
        <w:t xml:space="preserve"> </w:t>
      </w:r>
    </w:p>
    <w:p w:rsidR="00661281" w:rsidRPr="009B3714" w:rsidRDefault="00661281" w:rsidP="00B108CE">
      <w:pPr>
        <w:rPr>
          <w:rFonts w:cs="Times New Roman"/>
          <w:sz w:val="22"/>
          <w:szCs w:val="22"/>
        </w:rPr>
      </w:pPr>
    </w:p>
    <w:p w:rsidR="002A1E34" w:rsidRPr="009B3714" w:rsidRDefault="002A1E34" w:rsidP="009E26D1">
      <w:pPr>
        <w:rPr>
          <w:rFonts w:cs="Times New Roman"/>
          <w:sz w:val="22"/>
          <w:szCs w:val="22"/>
        </w:rPr>
      </w:pPr>
      <w:proofErr w:type="gramStart"/>
      <w:r w:rsidRPr="009B3714">
        <w:rPr>
          <w:rFonts w:cs="Times New Roman"/>
          <w:sz w:val="22"/>
          <w:szCs w:val="22"/>
        </w:rPr>
        <w:t>UNCTAD (2000).</w:t>
      </w:r>
      <w:proofErr w:type="gramEnd"/>
      <w:r w:rsidRPr="009B3714">
        <w:rPr>
          <w:rFonts w:cs="Times New Roman"/>
          <w:sz w:val="22"/>
          <w:szCs w:val="22"/>
        </w:rPr>
        <w:t xml:space="preserve"> World investment report</w:t>
      </w:r>
      <w:r w:rsidR="009E26D1" w:rsidRPr="009B3714">
        <w:rPr>
          <w:rFonts w:cs="Times New Roman"/>
          <w:sz w:val="22"/>
          <w:szCs w:val="22"/>
        </w:rPr>
        <w:t>: Cross-border Mergers and Acquisitions and Development. United Nations: New York and Geneva</w:t>
      </w:r>
      <w:r w:rsidRPr="009B3714">
        <w:rPr>
          <w:rFonts w:cs="Times New Roman"/>
          <w:sz w:val="22"/>
          <w:szCs w:val="22"/>
        </w:rPr>
        <w:t xml:space="preserve">. </w:t>
      </w:r>
    </w:p>
    <w:p w:rsidR="002A1E34" w:rsidRPr="009B3714" w:rsidRDefault="002A1E34" w:rsidP="00B108CE">
      <w:pPr>
        <w:rPr>
          <w:rFonts w:cs="Times New Roman"/>
          <w:sz w:val="22"/>
          <w:szCs w:val="22"/>
        </w:rPr>
      </w:pPr>
    </w:p>
    <w:p w:rsidR="006A4ECE" w:rsidRPr="009B3714" w:rsidRDefault="006A4ECE" w:rsidP="00B108CE">
      <w:pPr>
        <w:rPr>
          <w:rFonts w:cs="Times New Roman"/>
          <w:sz w:val="22"/>
          <w:szCs w:val="22"/>
        </w:rPr>
      </w:pPr>
      <w:proofErr w:type="gramStart"/>
      <w:r w:rsidRPr="009B3714">
        <w:rPr>
          <w:rFonts w:cs="Times New Roman"/>
          <w:sz w:val="22"/>
          <w:szCs w:val="22"/>
        </w:rPr>
        <w:t>UNCTAD (2013).</w:t>
      </w:r>
      <w:proofErr w:type="gramEnd"/>
      <w:r w:rsidRPr="009B3714">
        <w:rPr>
          <w:rFonts w:cs="Times New Roman"/>
          <w:sz w:val="22"/>
          <w:szCs w:val="22"/>
        </w:rPr>
        <w:t xml:space="preserve"> </w:t>
      </w:r>
      <w:r w:rsidRPr="009B3714">
        <w:rPr>
          <w:rFonts w:cs="Times New Roman"/>
          <w:iCs/>
          <w:sz w:val="22"/>
          <w:szCs w:val="22"/>
        </w:rPr>
        <w:t>World Investment Report</w:t>
      </w:r>
      <w:r w:rsidR="00402898" w:rsidRPr="009B3714">
        <w:rPr>
          <w:rFonts w:cs="Times New Roman"/>
          <w:iCs/>
          <w:sz w:val="22"/>
          <w:szCs w:val="22"/>
        </w:rPr>
        <w:t>:</w:t>
      </w:r>
      <w:r w:rsidRPr="009B3714">
        <w:rPr>
          <w:rFonts w:cs="Times New Roman"/>
          <w:iCs/>
          <w:sz w:val="22"/>
          <w:szCs w:val="22"/>
        </w:rPr>
        <w:t xml:space="preserve"> Global Value Chains: Invest</w:t>
      </w:r>
      <w:r w:rsidR="00DE065B" w:rsidRPr="009B3714">
        <w:rPr>
          <w:rFonts w:cs="Times New Roman"/>
          <w:iCs/>
          <w:sz w:val="22"/>
          <w:szCs w:val="22"/>
        </w:rPr>
        <w:t xml:space="preserve">ment and trade for Development. </w:t>
      </w:r>
      <w:r w:rsidRPr="009B3714">
        <w:rPr>
          <w:rFonts w:cs="Times New Roman"/>
          <w:sz w:val="22"/>
          <w:szCs w:val="22"/>
        </w:rPr>
        <w:t xml:space="preserve">United Nations: New York and Geneva. </w:t>
      </w:r>
    </w:p>
    <w:p w:rsidR="006A4ECE" w:rsidRPr="009B3714" w:rsidRDefault="006A4ECE" w:rsidP="00B108CE">
      <w:pPr>
        <w:rPr>
          <w:rFonts w:cs="Times New Roman"/>
          <w:sz w:val="22"/>
          <w:szCs w:val="22"/>
        </w:rPr>
      </w:pPr>
    </w:p>
    <w:p w:rsidR="006A4ECE" w:rsidRPr="009B3714" w:rsidRDefault="006A4ECE" w:rsidP="00B108CE">
      <w:pPr>
        <w:rPr>
          <w:rFonts w:cs="Times New Roman"/>
          <w:sz w:val="22"/>
          <w:szCs w:val="22"/>
        </w:rPr>
      </w:pPr>
      <w:proofErr w:type="spellStart"/>
      <w:proofErr w:type="gramStart"/>
      <w:r w:rsidRPr="009B3714">
        <w:rPr>
          <w:rFonts w:cs="Times New Roman"/>
          <w:sz w:val="22"/>
          <w:szCs w:val="22"/>
        </w:rPr>
        <w:t>Vijayakuma</w:t>
      </w:r>
      <w:proofErr w:type="spellEnd"/>
      <w:r w:rsidRPr="009B3714">
        <w:rPr>
          <w:rFonts w:cs="Times New Roman"/>
          <w:sz w:val="22"/>
          <w:szCs w:val="22"/>
        </w:rPr>
        <w:t xml:space="preserve">, N., </w:t>
      </w:r>
      <w:proofErr w:type="spellStart"/>
      <w:r w:rsidRPr="009B3714">
        <w:rPr>
          <w:rFonts w:cs="Times New Roman"/>
          <w:sz w:val="22"/>
          <w:szCs w:val="22"/>
        </w:rPr>
        <w:t>Sridharan</w:t>
      </w:r>
      <w:proofErr w:type="spellEnd"/>
      <w:r w:rsidRPr="009B3714">
        <w:rPr>
          <w:rFonts w:cs="Times New Roman"/>
          <w:sz w:val="22"/>
          <w:szCs w:val="22"/>
        </w:rPr>
        <w:t xml:space="preserve">, P. </w:t>
      </w:r>
      <w:r w:rsidR="00DE065B" w:rsidRPr="009B3714">
        <w:rPr>
          <w:rFonts w:cs="Times New Roman"/>
          <w:sz w:val="22"/>
          <w:szCs w:val="22"/>
        </w:rPr>
        <w:t>&amp; Rao, K. (2010).</w:t>
      </w:r>
      <w:proofErr w:type="gramEnd"/>
      <w:r w:rsidR="00DE065B" w:rsidRPr="009B3714">
        <w:rPr>
          <w:rFonts w:cs="Times New Roman"/>
          <w:sz w:val="22"/>
          <w:szCs w:val="22"/>
        </w:rPr>
        <w:t xml:space="preserve"> </w:t>
      </w:r>
      <w:r w:rsidRPr="009B3714">
        <w:rPr>
          <w:rFonts w:cs="Times New Roman"/>
          <w:sz w:val="22"/>
          <w:szCs w:val="22"/>
        </w:rPr>
        <w:t xml:space="preserve">Determinants of FDI in BRICS </w:t>
      </w:r>
      <w:r w:rsidR="00DE065B" w:rsidRPr="009B3714">
        <w:rPr>
          <w:rFonts w:cs="Times New Roman"/>
          <w:sz w:val="22"/>
          <w:szCs w:val="22"/>
        </w:rPr>
        <w:t>c</w:t>
      </w:r>
      <w:r w:rsidRPr="009B3714">
        <w:rPr>
          <w:rFonts w:cs="Times New Roman"/>
          <w:sz w:val="22"/>
          <w:szCs w:val="22"/>
        </w:rPr>
        <w:t>ountries: A panel ana</w:t>
      </w:r>
      <w:r w:rsidR="00DE065B" w:rsidRPr="009B3714">
        <w:rPr>
          <w:rFonts w:cs="Times New Roman"/>
          <w:sz w:val="22"/>
          <w:szCs w:val="22"/>
        </w:rPr>
        <w:t>lysis</w:t>
      </w:r>
      <w:r w:rsidRPr="009B3714">
        <w:rPr>
          <w:rFonts w:cs="Times New Roman"/>
          <w:sz w:val="22"/>
          <w:szCs w:val="22"/>
        </w:rPr>
        <w:t xml:space="preserve">. </w:t>
      </w:r>
      <w:r w:rsidRPr="009B3714">
        <w:rPr>
          <w:rFonts w:cs="Times New Roman"/>
          <w:iCs/>
          <w:sz w:val="22"/>
          <w:szCs w:val="22"/>
        </w:rPr>
        <w:t>Int. Journal of Business Science and Applied Management</w:t>
      </w:r>
      <w:r w:rsidR="00DE065B" w:rsidRPr="009B3714">
        <w:rPr>
          <w:rFonts w:cs="Times New Roman"/>
          <w:iCs/>
          <w:sz w:val="22"/>
          <w:szCs w:val="22"/>
        </w:rPr>
        <w:t>,</w:t>
      </w:r>
      <w:r w:rsidR="00DE065B" w:rsidRPr="009B3714">
        <w:rPr>
          <w:rFonts w:cs="Times New Roman"/>
          <w:sz w:val="22"/>
          <w:szCs w:val="22"/>
        </w:rPr>
        <w:t xml:space="preserve"> 5(3), 1-13.</w:t>
      </w:r>
      <w:r w:rsidRPr="009B3714">
        <w:rPr>
          <w:rFonts w:cs="Times New Roman"/>
          <w:sz w:val="22"/>
          <w:szCs w:val="22"/>
        </w:rPr>
        <w:t xml:space="preserve"> </w:t>
      </w:r>
    </w:p>
    <w:p w:rsidR="005F246C" w:rsidRPr="009B3714" w:rsidRDefault="005F246C" w:rsidP="005F246C">
      <w:pPr>
        <w:rPr>
          <w:rFonts w:cs="Times New Roman"/>
          <w:sz w:val="22"/>
          <w:szCs w:val="22"/>
        </w:rPr>
      </w:pPr>
    </w:p>
    <w:p w:rsidR="00C33304" w:rsidRPr="009B3714" w:rsidRDefault="006A4ECE" w:rsidP="00B108CE">
      <w:pPr>
        <w:rPr>
          <w:rFonts w:cs="Times New Roman"/>
          <w:sz w:val="22"/>
          <w:szCs w:val="22"/>
        </w:rPr>
      </w:pPr>
      <w:r w:rsidRPr="009B3714">
        <w:rPr>
          <w:rFonts w:cs="Times New Roman"/>
          <w:sz w:val="22"/>
          <w:szCs w:val="22"/>
        </w:rPr>
        <w:t xml:space="preserve">Wei, S. (2000). How </w:t>
      </w:r>
      <w:r w:rsidR="00C32D3B" w:rsidRPr="009B3714">
        <w:rPr>
          <w:rFonts w:cs="Times New Roman"/>
          <w:sz w:val="22"/>
          <w:szCs w:val="22"/>
        </w:rPr>
        <w:t>t</w:t>
      </w:r>
      <w:r w:rsidRPr="009B3714">
        <w:rPr>
          <w:rFonts w:cs="Times New Roman"/>
          <w:sz w:val="22"/>
          <w:szCs w:val="22"/>
        </w:rPr>
        <w:t xml:space="preserve">axing is </w:t>
      </w:r>
      <w:r w:rsidR="00C32D3B" w:rsidRPr="009B3714">
        <w:rPr>
          <w:rFonts w:cs="Times New Roman"/>
          <w:sz w:val="22"/>
          <w:szCs w:val="22"/>
        </w:rPr>
        <w:t>c</w:t>
      </w:r>
      <w:r w:rsidRPr="009B3714">
        <w:rPr>
          <w:rFonts w:cs="Times New Roman"/>
          <w:sz w:val="22"/>
          <w:szCs w:val="22"/>
        </w:rPr>
        <w:t xml:space="preserve">orruption on </w:t>
      </w:r>
      <w:r w:rsidR="00C32D3B" w:rsidRPr="009B3714">
        <w:rPr>
          <w:rFonts w:cs="Times New Roman"/>
          <w:sz w:val="22"/>
          <w:szCs w:val="22"/>
        </w:rPr>
        <w:t>i</w:t>
      </w:r>
      <w:r w:rsidRPr="009B3714">
        <w:rPr>
          <w:rFonts w:cs="Times New Roman"/>
          <w:sz w:val="22"/>
          <w:szCs w:val="22"/>
        </w:rPr>
        <w:t xml:space="preserve">nternational Investors? </w:t>
      </w:r>
      <w:proofErr w:type="gramStart"/>
      <w:r w:rsidRPr="009B3714">
        <w:rPr>
          <w:rFonts w:cs="Times New Roman"/>
          <w:sz w:val="22"/>
          <w:szCs w:val="22"/>
        </w:rPr>
        <w:t xml:space="preserve">The Review </w:t>
      </w:r>
      <w:r w:rsidRPr="009B3714">
        <w:rPr>
          <w:rFonts w:cs="Times New Roman"/>
          <w:iCs/>
          <w:sz w:val="22"/>
          <w:szCs w:val="22"/>
        </w:rPr>
        <w:t xml:space="preserve">of </w:t>
      </w:r>
      <w:r w:rsidRPr="009B3714">
        <w:rPr>
          <w:rFonts w:cs="Times New Roman"/>
          <w:sz w:val="22"/>
          <w:szCs w:val="22"/>
        </w:rPr>
        <w:t xml:space="preserve">Economics </w:t>
      </w:r>
      <w:r w:rsidRPr="009B3714">
        <w:rPr>
          <w:rFonts w:cs="Times New Roman"/>
          <w:iCs/>
          <w:sz w:val="22"/>
          <w:szCs w:val="22"/>
        </w:rPr>
        <w:t xml:space="preserve">and </w:t>
      </w:r>
      <w:r w:rsidRPr="009B3714">
        <w:rPr>
          <w:rFonts w:cs="Times New Roman"/>
          <w:sz w:val="22"/>
          <w:szCs w:val="22"/>
        </w:rPr>
        <w:t>Statistics.</w:t>
      </w:r>
      <w:proofErr w:type="gramEnd"/>
      <w:r w:rsidRPr="009B3714">
        <w:rPr>
          <w:rFonts w:cs="Times New Roman"/>
          <w:sz w:val="22"/>
          <w:szCs w:val="22"/>
        </w:rPr>
        <w:t xml:space="preserve"> </w:t>
      </w:r>
      <w:r w:rsidR="00C33304" w:rsidRPr="009B3714">
        <w:rPr>
          <w:rFonts w:cs="Times New Roman"/>
          <w:sz w:val="22"/>
          <w:szCs w:val="22"/>
        </w:rPr>
        <w:t>82</w:t>
      </w:r>
      <w:r w:rsidR="00C32D3B" w:rsidRPr="009B3714">
        <w:rPr>
          <w:rFonts w:cs="Times New Roman"/>
          <w:sz w:val="22"/>
          <w:szCs w:val="22"/>
        </w:rPr>
        <w:t>,</w:t>
      </w:r>
      <w:r w:rsidR="00C33304" w:rsidRPr="009B3714">
        <w:rPr>
          <w:rFonts w:cs="Times New Roman"/>
          <w:sz w:val="22"/>
          <w:szCs w:val="22"/>
        </w:rPr>
        <w:t xml:space="preserve"> 1–11.</w:t>
      </w:r>
    </w:p>
    <w:p w:rsidR="00A64ECD" w:rsidRPr="009B3714" w:rsidRDefault="00A64ECD" w:rsidP="00B108CE">
      <w:pPr>
        <w:rPr>
          <w:rFonts w:cs="Times New Roman"/>
          <w:sz w:val="22"/>
          <w:szCs w:val="22"/>
        </w:rPr>
      </w:pPr>
    </w:p>
    <w:p w:rsidR="00E54B07" w:rsidRPr="009B3714" w:rsidRDefault="006A4ECE" w:rsidP="00B108CE">
      <w:pPr>
        <w:rPr>
          <w:rFonts w:cs="Times New Roman"/>
          <w:sz w:val="22"/>
          <w:szCs w:val="22"/>
        </w:rPr>
      </w:pPr>
      <w:proofErr w:type="gramStart"/>
      <w:r w:rsidRPr="009B3714">
        <w:rPr>
          <w:rFonts w:cs="Times New Roman"/>
          <w:sz w:val="22"/>
          <w:szCs w:val="22"/>
        </w:rPr>
        <w:t>World Bank.</w:t>
      </w:r>
      <w:proofErr w:type="gramEnd"/>
      <w:r w:rsidRPr="009B3714">
        <w:rPr>
          <w:rFonts w:cs="Times New Roman"/>
          <w:sz w:val="22"/>
          <w:szCs w:val="22"/>
        </w:rPr>
        <w:t xml:space="preserve"> </w:t>
      </w:r>
      <w:proofErr w:type="gramStart"/>
      <w:r w:rsidRPr="009B3714">
        <w:rPr>
          <w:rFonts w:cs="Times New Roman"/>
          <w:sz w:val="22"/>
          <w:szCs w:val="22"/>
        </w:rPr>
        <w:t xml:space="preserve">(2013). </w:t>
      </w:r>
      <w:r w:rsidRPr="009B3714">
        <w:rPr>
          <w:rFonts w:cs="Times New Roman"/>
          <w:iCs/>
          <w:sz w:val="22"/>
          <w:szCs w:val="22"/>
        </w:rPr>
        <w:t>World Development Indicator</w:t>
      </w:r>
      <w:r w:rsidRPr="009B3714">
        <w:rPr>
          <w:rFonts w:cs="Times New Roman"/>
          <w:sz w:val="22"/>
          <w:szCs w:val="22"/>
        </w:rPr>
        <w:t>.</w:t>
      </w:r>
      <w:proofErr w:type="gramEnd"/>
      <w:r w:rsidRPr="009B3714">
        <w:rPr>
          <w:rFonts w:cs="Times New Roman"/>
          <w:sz w:val="22"/>
          <w:szCs w:val="22"/>
        </w:rPr>
        <w:t xml:space="preserve"> </w:t>
      </w:r>
      <w:proofErr w:type="gramStart"/>
      <w:r w:rsidRPr="009B3714">
        <w:rPr>
          <w:rFonts w:cs="Times New Roman"/>
          <w:sz w:val="22"/>
          <w:szCs w:val="22"/>
        </w:rPr>
        <w:t>(Online).</w:t>
      </w:r>
      <w:proofErr w:type="gramEnd"/>
      <w:r w:rsidRPr="009B3714">
        <w:rPr>
          <w:rFonts w:cs="Times New Roman"/>
          <w:sz w:val="22"/>
          <w:szCs w:val="22"/>
        </w:rPr>
        <w:t xml:space="preserve"> </w:t>
      </w:r>
      <w:proofErr w:type="gramStart"/>
      <w:r w:rsidR="00C32D3B" w:rsidRPr="009B3714">
        <w:rPr>
          <w:rFonts w:cs="Times New Roman"/>
          <w:sz w:val="22"/>
          <w:szCs w:val="22"/>
        </w:rPr>
        <w:t>Retrieved December 30, 2013,</w:t>
      </w:r>
      <w:r w:rsidRPr="009B3714">
        <w:rPr>
          <w:rFonts w:cs="Times New Roman"/>
          <w:sz w:val="22"/>
          <w:szCs w:val="22"/>
        </w:rPr>
        <w:t xml:space="preserve"> from </w:t>
      </w:r>
      <w:hyperlink r:id="rId16" w:history="1">
        <w:r w:rsidR="00C32D3B" w:rsidRPr="009B3714">
          <w:rPr>
            <w:rStyle w:val="Hyperlink"/>
            <w:rFonts w:cs="Times New Roman"/>
            <w:color w:val="auto"/>
            <w:sz w:val="22"/>
            <w:szCs w:val="22"/>
          </w:rPr>
          <w:t>http://data.worldbank.org/data-catalog/world-development-indicators</w:t>
        </w:r>
      </w:hyperlink>
      <w:r w:rsidRPr="009B3714">
        <w:rPr>
          <w:rFonts w:cs="Times New Roman"/>
          <w:sz w:val="22"/>
          <w:szCs w:val="22"/>
        </w:rPr>
        <w:t>.</w:t>
      </w:r>
      <w:proofErr w:type="gramEnd"/>
    </w:p>
    <w:p w:rsidR="00E54B07" w:rsidRPr="009B3714" w:rsidRDefault="00E54B07" w:rsidP="00B108CE">
      <w:pPr>
        <w:rPr>
          <w:rFonts w:cs="Times New Roman"/>
          <w:sz w:val="22"/>
          <w:szCs w:val="22"/>
        </w:rPr>
      </w:pPr>
    </w:p>
    <w:sectPr w:rsidR="00E54B07" w:rsidRPr="009B3714" w:rsidSect="0071211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157" w:rsidRDefault="00B84157" w:rsidP="00DC57C6">
      <w:pPr>
        <w:spacing w:line="240" w:lineRule="auto"/>
      </w:pPr>
      <w:r>
        <w:separator/>
      </w:r>
    </w:p>
  </w:endnote>
  <w:endnote w:type="continuationSeparator" w:id="0">
    <w:p w:rsidR="00B84157" w:rsidRDefault="00B84157" w:rsidP="00DC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Time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9940"/>
      <w:docPartObj>
        <w:docPartGallery w:val="Page Numbers (Bottom of Page)"/>
        <w:docPartUnique/>
      </w:docPartObj>
    </w:sdtPr>
    <w:sdtEndPr>
      <w:rPr>
        <w:noProof/>
      </w:rPr>
    </w:sdtEndPr>
    <w:sdtContent>
      <w:p w:rsidR="00423F63" w:rsidRDefault="00423F63">
        <w:pPr>
          <w:pStyle w:val="Footer"/>
          <w:jc w:val="center"/>
        </w:pPr>
        <w:r>
          <w:fldChar w:fldCharType="begin"/>
        </w:r>
        <w:r>
          <w:instrText xml:space="preserve"> PAGE   \* MERGEFORMAT </w:instrText>
        </w:r>
        <w:r>
          <w:fldChar w:fldCharType="separate"/>
        </w:r>
        <w:r w:rsidR="006570F7">
          <w:rPr>
            <w:noProof/>
          </w:rPr>
          <w:t>1</w:t>
        </w:r>
        <w:r>
          <w:rPr>
            <w:noProof/>
          </w:rPr>
          <w:fldChar w:fldCharType="end"/>
        </w:r>
      </w:p>
    </w:sdtContent>
  </w:sdt>
  <w:p w:rsidR="00423F63" w:rsidRDefault="0042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157" w:rsidRDefault="00B84157" w:rsidP="00DC57C6">
      <w:pPr>
        <w:spacing w:line="240" w:lineRule="auto"/>
      </w:pPr>
      <w:r>
        <w:separator/>
      </w:r>
    </w:p>
  </w:footnote>
  <w:footnote w:type="continuationSeparator" w:id="0">
    <w:p w:rsidR="00B84157" w:rsidRDefault="00B84157" w:rsidP="00DC57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9FC"/>
    <w:multiLevelType w:val="hybridMultilevel"/>
    <w:tmpl w:val="0E40E9FA"/>
    <w:lvl w:ilvl="0" w:tplc="1576CC32">
      <w:start w:val="4"/>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85B3F74"/>
    <w:multiLevelType w:val="multilevel"/>
    <w:tmpl w:val="0A6A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56AF8"/>
    <w:multiLevelType w:val="multilevel"/>
    <w:tmpl w:val="F9E8E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43416"/>
    <w:multiLevelType w:val="hybridMultilevel"/>
    <w:tmpl w:val="6EF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454DA"/>
    <w:multiLevelType w:val="hybridMultilevel"/>
    <w:tmpl w:val="5120C8FC"/>
    <w:lvl w:ilvl="0" w:tplc="713A429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B7479"/>
    <w:multiLevelType w:val="hybridMultilevel"/>
    <w:tmpl w:val="4C3A9C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111534F"/>
    <w:multiLevelType w:val="hybridMultilevel"/>
    <w:tmpl w:val="E844FFEA"/>
    <w:lvl w:ilvl="0" w:tplc="3B9E6C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2C51BF8"/>
    <w:multiLevelType w:val="multilevel"/>
    <w:tmpl w:val="7A00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37B53"/>
    <w:multiLevelType w:val="multilevel"/>
    <w:tmpl w:val="D1E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66D3F"/>
    <w:multiLevelType w:val="multilevel"/>
    <w:tmpl w:val="8DF6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D31AE"/>
    <w:multiLevelType w:val="multilevel"/>
    <w:tmpl w:val="3BA818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E2F0E10"/>
    <w:multiLevelType w:val="hybridMultilevel"/>
    <w:tmpl w:val="3762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C33D9"/>
    <w:multiLevelType w:val="hybridMultilevel"/>
    <w:tmpl w:val="EB887E3A"/>
    <w:lvl w:ilvl="0" w:tplc="498AB0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572338"/>
    <w:multiLevelType w:val="hybridMultilevel"/>
    <w:tmpl w:val="A5FC6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45EA3"/>
    <w:multiLevelType w:val="hybridMultilevel"/>
    <w:tmpl w:val="9A9860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BC3569"/>
    <w:multiLevelType w:val="hybridMultilevel"/>
    <w:tmpl w:val="727EEF8C"/>
    <w:lvl w:ilvl="0" w:tplc="6B82B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964CAE"/>
    <w:multiLevelType w:val="hybridMultilevel"/>
    <w:tmpl w:val="D672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972E5"/>
    <w:multiLevelType w:val="hybridMultilevel"/>
    <w:tmpl w:val="3522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682EF6"/>
    <w:multiLevelType w:val="multilevel"/>
    <w:tmpl w:val="978E9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053EEB"/>
    <w:multiLevelType w:val="multilevel"/>
    <w:tmpl w:val="DD4C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830DDB"/>
    <w:multiLevelType w:val="hybridMultilevel"/>
    <w:tmpl w:val="D672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5329D"/>
    <w:multiLevelType w:val="multilevel"/>
    <w:tmpl w:val="F8D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DD37FB"/>
    <w:multiLevelType w:val="multilevel"/>
    <w:tmpl w:val="0CE85A6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4E86EA5"/>
    <w:multiLevelType w:val="hybridMultilevel"/>
    <w:tmpl w:val="4542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253128"/>
    <w:multiLevelType w:val="multilevel"/>
    <w:tmpl w:val="1066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C6E33"/>
    <w:multiLevelType w:val="multilevel"/>
    <w:tmpl w:val="DDEA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E239C2"/>
    <w:multiLevelType w:val="hybridMultilevel"/>
    <w:tmpl w:val="D672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84F90"/>
    <w:multiLevelType w:val="hybridMultilevel"/>
    <w:tmpl w:val="C808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3E53F1"/>
    <w:multiLevelType w:val="multilevel"/>
    <w:tmpl w:val="FFA4C73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1D70BF3"/>
    <w:multiLevelType w:val="hybridMultilevel"/>
    <w:tmpl w:val="90EE5D5E"/>
    <w:lvl w:ilvl="0" w:tplc="0F1E6AF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6B6AFB"/>
    <w:multiLevelType w:val="multilevel"/>
    <w:tmpl w:val="E66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1"/>
  </w:num>
  <w:num w:numId="4">
    <w:abstractNumId w:val="29"/>
  </w:num>
  <w:num w:numId="5">
    <w:abstractNumId w:val="19"/>
  </w:num>
  <w:num w:numId="6">
    <w:abstractNumId w:val="2"/>
  </w:num>
  <w:num w:numId="7">
    <w:abstractNumId w:val="18"/>
  </w:num>
  <w:num w:numId="8">
    <w:abstractNumId w:val="12"/>
  </w:num>
  <w:num w:numId="9">
    <w:abstractNumId w:val="20"/>
  </w:num>
  <w:num w:numId="10">
    <w:abstractNumId w:val="6"/>
  </w:num>
  <w:num w:numId="11">
    <w:abstractNumId w:val="5"/>
  </w:num>
  <w:num w:numId="12">
    <w:abstractNumId w:val="16"/>
  </w:num>
  <w:num w:numId="13">
    <w:abstractNumId w:val="26"/>
  </w:num>
  <w:num w:numId="14">
    <w:abstractNumId w:val="7"/>
  </w:num>
  <w:num w:numId="15">
    <w:abstractNumId w:val="21"/>
  </w:num>
  <w:num w:numId="16">
    <w:abstractNumId w:val="25"/>
  </w:num>
  <w:num w:numId="17">
    <w:abstractNumId w:val="8"/>
  </w:num>
  <w:num w:numId="18">
    <w:abstractNumId w:val="9"/>
  </w:num>
  <w:num w:numId="19">
    <w:abstractNumId w:val="24"/>
  </w:num>
  <w:num w:numId="20">
    <w:abstractNumId w:val="30"/>
  </w:num>
  <w:num w:numId="21">
    <w:abstractNumId w:val="1"/>
  </w:num>
  <w:num w:numId="22">
    <w:abstractNumId w:val="0"/>
  </w:num>
  <w:num w:numId="23">
    <w:abstractNumId w:val="22"/>
  </w:num>
  <w:num w:numId="24">
    <w:abstractNumId w:val="28"/>
  </w:num>
  <w:num w:numId="25">
    <w:abstractNumId w:val="14"/>
  </w:num>
  <w:num w:numId="26">
    <w:abstractNumId w:val="13"/>
  </w:num>
  <w:num w:numId="27">
    <w:abstractNumId w:val="4"/>
  </w:num>
  <w:num w:numId="28">
    <w:abstractNumId w:val="27"/>
  </w:num>
  <w:num w:numId="29">
    <w:abstractNumId w:val="17"/>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32"/>
    <w:rsid w:val="000125A9"/>
    <w:rsid w:val="00014401"/>
    <w:rsid w:val="00017860"/>
    <w:rsid w:val="00020FA3"/>
    <w:rsid w:val="000232E7"/>
    <w:rsid w:val="0002435F"/>
    <w:rsid w:val="00025305"/>
    <w:rsid w:val="00026D00"/>
    <w:rsid w:val="0003339A"/>
    <w:rsid w:val="000354C3"/>
    <w:rsid w:val="0003590A"/>
    <w:rsid w:val="00035D78"/>
    <w:rsid w:val="0003634D"/>
    <w:rsid w:val="00036A6F"/>
    <w:rsid w:val="00036E5E"/>
    <w:rsid w:val="000407DF"/>
    <w:rsid w:val="00040AC4"/>
    <w:rsid w:val="0004121A"/>
    <w:rsid w:val="00041C09"/>
    <w:rsid w:val="00041DA1"/>
    <w:rsid w:val="00047590"/>
    <w:rsid w:val="00050E5A"/>
    <w:rsid w:val="00051536"/>
    <w:rsid w:val="00051FA0"/>
    <w:rsid w:val="00052248"/>
    <w:rsid w:val="000527A6"/>
    <w:rsid w:val="00054037"/>
    <w:rsid w:val="0005434A"/>
    <w:rsid w:val="0005712C"/>
    <w:rsid w:val="00057782"/>
    <w:rsid w:val="0006083B"/>
    <w:rsid w:val="00062049"/>
    <w:rsid w:val="000622B7"/>
    <w:rsid w:val="00063BB0"/>
    <w:rsid w:val="00064426"/>
    <w:rsid w:val="00064BB4"/>
    <w:rsid w:val="00065F72"/>
    <w:rsid w:val="00070495"/>
    <w:rsid w:val="00070F71"/>
    <w:rsid w:val="00071075"/>
    <w:rsid w:val="0007759E"/>
    <w:rsid w:val="00080322"/>
    <w:rsid w:val="000820D7"/>
    <w:rsid w:val="000829AA"/>
    <w:rsid w:val="00084437"/>
    <w:rsid w:val="000856D5"/>
    <w:rsid w:val="00087900"/>
    <w:rsid w:val="00087D36"/>
    <w:rsid w:val="00091382"/>
    <w:rsid w:val="0009140E"/>
    <w:rsid w:val="0009493D"/>
    <w:rsid w:val="000967AF"/>
    <w:rsid w:val="0009799A"/>
    <w:rsid w:val="000A0628"/>
    <w:rsid w:val="000A078C"/>
    <w:rsid w:val="000A15E8"/>
    <w:rsid w:val="000A1B59"/>
    <w:rsid w:val="000A2D79"/>
    <w:rsid w:val="000A6F05"/>
    <w:rsid w:val="000A755F"/>
    <w:rsid w:val="000B0432"/>
    <w:rsid w:val="000B2958"/>
    <w:rsid w:val="000B34FB"/>
    <w:rsid w:val="000B3C9C"/>
    <w:rsid w:val="000B67A1"/>
    <w:rsid w:val="000B6850"/>
    <w:rsid w:val="000C0D8E"/>
    <w:rsid w:val="000C142F"/>
    <w:rsid w:val="000C191D"/>
    <w:rsid w:val="000C28CE"/>
    <w:rsid w:val="000C3BF7"/>
    <w:rsid w:val="000C5AA4"/>
    <w:rsid w:val="000C6973"/>
    <w:rsid w:val="000D1985"/>
    <w:rsid w:val="000D36DE"/>
    <w:rsid w:val="000D3A0E"/>
    <w:rsid w:val="000D3DF0"/>
    <w:rsid w:val="000D427A"/>
    <w:rsid w:val="000D576E"/>
    <w:rsid w:val="000D59FD"/>
    <w:rsid w:val="000D6D47"/>
    <w:rsid w:val="000E0517"/>
    <w:rsid w:val="000E1B79"/>
    <w:rsid w:val="000E2A3A"/>
    <w:rsid w:val="000E4F8F"/>
    <w:rsid w:val="000E5F15"/>
    <w:rsid w:val="000E62C6"/>
    <w:rsid w:val="000E6705"/>
    <w:rsid w:val="000F1007"/>
    <w:rsid w:val="000F109E"/>
    <w:rsid w:val="000F1FD5"/>
    <w:rsid w:val="000F3219"/>
    <w:rsid w:val="000F34E5"/>
    <w:rsid w:val="000F41D4"/>
    <w:rsid w:val="000F5F6F"/>
    <w:rsid w:val="000F7550"/>
    <w:rsid w:val="00100558"/>
    <w:rsid w:val="00104999"/>
    <w:rsid w:val="00114BF3"/>
    <w:rsid w:val="00114EF7"/>
    <w:rsid w:val="00116280"/>
    <w:rsid w:val="001165CE"/>
    <w:rsid w:val="00117DAC"/>
    <w:rsid w:val="00121BFA"/>
    <w:rsid w:val="0012245F"/>
    <w:rsid w:val="00123544"/>
    <w:rsid w:val="0012481A"/>
    <w:rsid w:val="00126075"/>
    <w:rsid w:val="00130C78"/>
    <w:rsid w:val="001314B8"/>
    <w:rsid w:val="00143348"/>
    <w:rsid w:val="0014438F"/>
    <w:rsid w:val="00145315"/>
    <w:rsid w:val="001468A3"/>
    <w:rsid w:val="00151990"/>
    <w:rsid w:val="0015266C"/>
    <w:rsid w:val="00154C4F"/>
    <w:rsid w:val="00154E67"/>
    <w:rsid w:val="00154F05"/>
    <w:rsid w:val="0015574B"/>
    <w:rsid w:val="00156A31"/>
    <w:rsid w:val="00161F17"/>
    <w:rsid w:val="00162A2D"/>
    <w:rsid w:val="0016309E"/>
    <w:rsid w:val="00172F8B"/>
    <w:rsid w:val="00173915"/>
    <w:rsid w:val="00173F3D"/>
    <w:rsid w:val="00175110"/>
    <w:rsid w:val="0017599E"/>
    <w:rsid w:val="00177C53"/>
    <w:rsid w:val="00180274"/>
    <w:rsid w:val="0018212E"/>
    <w:rsid w:val="001848DF"/>
    <w:rsid w:val="00184EB2"/>
    <w:rsid w:val="001867BB"/>
    <w:rsid w:val="0018686D"/>
    <w:rsid w:val="00187BCF"/>
    <w:rsid w:val="00193F45"/>
    <w:rsid w:val="00195730"/>
    <w:rsid w:val="001977A3"/>
    <w:rsid w:val="001A1B46"/>
    <w:rsid w:val="001B2819"/>
    <w:rsid w:val="001B688B"/>
    <w:rsid w:val="001B6CF1"/>
    <w:rsid w:val="001B6E25"/>
    <w:rsid w:val="001B6F1C"/>
    <w:rsid w:val="001C0E75"/>
    <w:rsid w:val="001C40D7"/>
    <w:rsid w:val="001C41B0"/>
    <w:rsid w:val="001C422B"/>
    <w:rsid w:val="001C4EFF"/>
    <w:rsid w:val="001C5877"/>
    <w:rsid w:val="001C7D97"/>
    <w:rsid w:val="001D0F0B"/>
    <w:rsid w:val="001D1209"/>
    <w:rsid w:val="001D316E"/>
    <w:rsid w:val="001D42E7"/>
    <w:rsid w:val="001D52DC"/>
    <w:rsid w:val="001D5A32"/>
    <w:rsid w:val="001E11FB"/>
    <w:rsid w:val="001E68A9"/>
    <w:rsid w:val="001E7DA4"/>
    <w:rsid w:val="001F090E"/>
    <w:rsid w:val="001F19AB"/>
    <w:rsid w:val="001F19E0"/>
    <w:rsid w:val="001F4769"/>
    <w:rsid w:val="001F4C6B"/>
    <w:rsid w:val="001F74EF"/>
    <w:rsid w:val="00200001"/>
    <w:rsid w:val="00200F32"/>
    <w:rsid w:val="00201085"/>
    <w:rsid w:val="002018B9"/>
    <w:rsid w:val="00203151"/>
    <w:rsid w:val="00203267"/>
    <w:rsid w:val="002051D6"/>
    <w:rsid w:val="0020763D"/>
    <w:rsid w:val="0021118C"/>
    <w:rsid w:val="002119EC"/>
    <w:rsid w:val="00212634"/>
    <w:rsid w:val="0021547E"/>
    <w:rsid w:val="00215754"/>
    <w:rsid w:val="00222A85"/>
    <w:rsid w:val="00226291"/>
    <w:rsid w:val="002262D2"/>
    <w:rsid w:val="00230900"/>
    <w:rsid w:val="00232524"/>
    <w:rsid w:val="0023266E"/>
    <w:rsid w:val="00235647"/>
    <w:rsid w:val="0024000D"/>
    <w:rsid w:val="00243254"/>
    <w:rsid w:val="002434CA"/>
    <w:rsid w:val="0024538C"/>
    <w:rsid w:val="00245468"/>
    <w:rsid w:val="00245F94"/>
    <w:rsid w:val="002505FB"/>
    <w:rsid w:val="0025108E"/>
    <w:rsid w:val="00252253"/>
    <w:rsid w:val="00253C5B"/>
    <w:rsid w:val="00253C91"/>
    <w:rsid w:val="002563B9"/>
    <w:rsid w:val="002571B6"/>
    <w:rsid w:val="00257AF9"/>
    <w:rsid w:val="002607C0"/>
    <w:rsid w:val="002628CC"/>
    <w:rsid w:val="00262D72"/>
    <w:rsid w:val="002640D1"/>
    <w:rsid w:val="002655D6"/>
    <w:rsid w:val="00266346"/>
    <w:rsid w:val="0027185F"/>
    <w:rsid w:val="0027238D"/>
    <w:rsid w:val="00273D6A"/>
    <w:rsid w:val="00273E11"/>
    <w:rsid w:val="00274750"/>
    <w:rsid w:val="002772E4"/>
    <w:rsid w:val="0028025F"/>
    <w:rsid w:val="00282222"/>
    <w:rsid w:val="00286F53"/>
    <w:rsid w:val="00287EF9"/>
    <w:rsid w:val="002910F3"/>
    <w:rsid w:val="00291B3D"/>
    <w:rsid w:val="002920DA"/>
    <w:rsid w:val="00292591"/>
    <w:rsid w:val="00293ACC"/>
    <w:rsid w:val="00294284"/>
    <w:rsid w:val="002950A0"/>
    <w:rsid w:val="0029563B"/>
    <w:rsid w:val="002A1E34"/>
    <w:rsid w:val="002A3E3C"/>
    <w:rsid w:val="002A4D32"/>
    <w:rsid w:val="002A5190"/>
    <w:rsid w:val="002A62A7"/>
    <w:rsid w:val="002A6A65"/>
    <w:rsid w:val="002A72EA"/>
    <w:rsid w:val="002A7804"/>
    <w:rsid w:val="002B0206"/>
    <w:rsid w:val="002B165D"/>
    <w:rsid w:val="002B1940"/>
    <w:rsid w:val="002B1EDB"/>
    <w:rsid w:val="002B2164"/>
    <w:rsid w:val="002B71CD"/>
    <w:rsid w:val="002C1CC4"/>
    <w:rsid w:val="002C2DDB"/>
    <w:rsid w:val="002C33DA"/>
    <w:rsid w:val="002C4D3E"/>
    <w:rsid w:val="002C65F7"/>
    <w:rsid w:val="002D060B"/>
    <w:rsid w:val="002D17AE"/>
    <w:rsid w:val="002D2643"/>
    <w:rsid w:val="002D404B"/>
    <w:rsid w:val="002D4F25"/>
    <w:rsid w:val="002D6610"/>
    <w:rsid w:val="002E051C"/>
    <w:rsid w:val="002E05E8"/>
    <w:rsid w:val="002E2087"/>
    <w:rsid w:val="002E27B1"/>
    <w:rsid w:val="002E739E"/>
    <w:rsid w:val="002E7D47"/>
    <w:rsid w:val="002F0A9B"/>
    <w:rsid w:val="002F127D"/>
    <w:rsid w:val="002F1907"/>
    <w:rsid w:val="002F2A5C"/>
    <w:rsid w:val="002F6F16"/>
    <w:rsid w:val="0030031E"/>
    <w:rsid w:val="00300337"/>
    <w:rsid w:val="00300DD6"/>
    <w:rsid w:val="0030133E"/>
    <w:rsid w:val="00304070"/>
    <w:rsid w:val="003043B0"/>
    <w:rsid w:val="00305248"/>
    <w:rsid w:val="00305B02"/>
    <w:rsid w:val="003105FE"/>
    <w:rsid w:val="0031094E"/>
    <w:rsid w:val="00311635"/>
    <w:rsid w:val="00311FA6"/>
    <w:rsid w:val="003179B5"/>
    <w:rsid w:val="00320320"/>
    <w:rsid w:val="00320D3C"/>
    <w:rsid w:val="00322326"/>
    <w:rsid w:val="003227E0"/>
    <w:rsid w:val="00322C5E"/>
    <w:rsid w:val="0032437A"/>
    <w:rsid w:val="0032529E"/>
    <w:rsid w:val="0032666F"/>
    <w:rsid w:val="00326753"/>
    <w:rsid w:val="003274A9"/>
    <w:rsid w:val="0032768E"/>
    <w:rsid w:val="003305FA"/>
    <w:rsid w:val="00332861"/>
    <w:rsid w:val="00333AD3"/>
    <w:rsid w:val="00334F50"/>
    <w:rsid w:val="003375DA"/>
    <w:rsid w:val="003375E4"/>
    <w:rsid w:val="00337A58"/>
    <w:rsid w:val="00341750"/>
    <w:rsid w:val="00343C85"/>
    <w:rsid w:val="00344FB9"/>
    <w:rsid w:val="003456E7"/>
    <w:rsid w:val="00346609"/>
    <w:rsid w:val="00347A06"/>
    <w:rsid w:val="0035247B"/>
    <w:rsid w:val="00353F96"/>
    <w:rsid w:val="003575AA"/>
    <w:rsid w:val="00357662"/>
    <w:rsid w:val="00360F70"/>
    <w:rsid w:val="00361328"/>
    <w:rsid w:val="00361F4C"/>
    <w:rsid w:val="00362436"/>
    <w:rsid w:val="003643D2"/>
    <w:rsid w:val="00364EC5"/>
    <w:rsid w:val="003659DD"/>
    <w:rsid w:val="0036660D"/>
    <w:rsid w:val="0036675D"/>
    <w:rsid w:val="00367639"/>
    <w:rsid w:val="0037092C"/>
    <w:rsid w:val="003760F4"/>
    <w:rsid w:val="003825F5"/>
    <w:rsid w:val="00382A26"/>
    <w:rsid w:val="003849B0"/>
    <w:rsid w:val="00385C55"/>
    <w:rsid w:val="003865AA"/>
    <w:rsid w:val="00387443"/>
    <w:rsid w:val="00390232"/>
    <w:rsid w:val="0039086B"/>
    <w:rsid w:val="00390DA1"/>
    <w:rsid w:val="0039122A"/>
    <w:rsid w:val="003926C8"/>
    <w:rsid w:val="003927B9"/>
    <w:rsid w:val="003970E7"/>
    <w:rsid w:val="003971C2"/>
    <w:rsid w:val="00397C13"/>
    <w:rsid w:val="003A0AE4"/>
    <w:rsid w:val="003A1A32"/>
    <w:rsid w:val="003A3B8A"/>
    <w:rsid w:val="003A46BA"/>
    <w:rsid w:val="003A7507"/>
    <w:rsid w:val="003B0D60"/>
    <w:rsid w:val="003B1495"/>
    <w:rsid w:val="003B23FF"/>
    <w:rsid w:val="003B398C"/>
    <w:rsid w:val="003B4C23"/>
    <w:rsid w:val="003B4E75"/>
    <w:rsid w:val="003C0FF3"/>
    <w:rsid w:val="003C2300"/>
    <w:rsid w:val="003C7036"/>
    <w:rsid w:val="003C7442"/>
    <w:rsid w:val="003D14C6"/>
    <w:rsid w:val="003D2936"/>
    <w:rsid w:val="003D47F2"/>
    <w:rsid w:val="003D49F0"/>
    <w:rsid w:val="003E1D77"/>
    <w:rsid w:val="003E4716"/>
    <w:rsid w:val="003E48CE"/>
    <w:rsid w:val="003E5289"/>
    <w:rsid w:val="003E664A"/>
    <w:rsid w:val="003E71FD"/>
    <w:rsid w:val="003F0F1E"/>
    <w:rsid w:val="003F3771"/>
    <w:rsid w:val="003F4F84"/>
    <w:rsid w:val="003F67B2"/>
    <w:rsid w:val="003F7427"/>
    <w:rsid w:val="004019CD"/>
    <w:rsid w:val="00401DFB"/>
    <w:rsid w:val="00402898"/>
    <w:rsid w:val="00402BE1"/>
    <w:rsid w:val="00402BE4"/>
    <w:rsid w:val="0040335B"/>
    <w:rsid w:val="0040353F"/>
    <w:rsid w:val="004079C8"/>
    <w:rsid w:val="00410091"/>
    <w:rsid w:val="004111A6"/>
    <w:rsid w:val="00413E94"/>
    <w:rsid w:val="00414B1F"/>
    <w:rsid w:val="00415C5C"/>
    <w:rsid w:val="00415D0D"/>
    <w:rsid w:val="00421E7B"/>
    <w:rsid w:val="00423F63"/>
    <w:rsid w:val="00425947"/>
    <w:rsid w:val="00425C24"/>
    <w:rsid w:val="00427430"/>
    <w:rsid w:val="00431D5F"/>
    <w:rsid w:val="00432387"/>
    <w:rsid w:val="00432DC6"/>
    <w:rsid w:val="00434BD2"/>
    <w:rsid w:val="00435E1B"/>
    <w:rsid w:val="00443561"/>
    <w:rsid w:val="0044444C"/>
    <w:rsid w:val="00444EAD"/>
    <w:rsid w:val="0044693E"/>
    <w:rsid w:val="00446E5A"/>
    <w:rsid w:val="00450515"/>
    <w:rsid w:val="004518D8"/>
    <w:rsid w:val="00451EDF"/>
    <w:rsid w:val="00453329"/>
    <w:rsid w:val="00454689"/>
    <w:rsid w:val="004548E3"/>
    <w:rsid w:val="00455908"/>
    <w:rsid w:val="0045656D"/>
    <w:rsid w:val="004636C5"/>
    <w:rsid w:val="004637E6"/>
    <w:rsid w:val="0046384C"/>
    <w:rsid w:val="00463F7F"/>
    <w:rsid w:val="00464494"/>
    <w:rsid w:val="00465517"/>
    <w:rsid w:val="00472388"/>
    <w:rsid w:val="00474C4B"/>
    <w:rsid w:val="0047542A"/>
    <w:rsid w:val="004775B0"/>
    <w:rsid w:val="00483552"/>
    <w:rsid w:val="0048467B"/>
    <w:rsid w:val="00490360"/>
    <w:rsid w:val="004904C9"/>
    <w:rsid w:val="00490AAA"/>
    <w:rsid w:val="00492CB3"/>
    <w:rsid w:val="004934EB"/>
    <w:rsid w:val="00493A87"/>
    <w:rsid w:val="00493C15"/>
    <w:rsid w:val="00494CA5"/>
    <w:rsid w:val="00494F36"/>
    <w:rsid w:val="004967C0"/>
    <w:rsid w:val="004A005C"/>
    <w:rsid w:val="004A09EB"/>
    <w:rsid w:val="004A1B3F"/>
    <w:rsid w:val="004A21E0"/>
    <w:rsid w:val="004A222B"/>
    <w:rsid w:val="004A235F"/>
    <w:rsid w:val="004A4E4F"/>
    <w:rsid w:val="004A5F30"/>
    <w:rsid w:val="004B0E8C"/>
    <w:rsid w:val="004B2835"/>
    <w:rsid w:val="004B3A6C"/>
    <w:rsid w:val="004B3DEF"/>
    <w:rsid w:val="004B3EC6"/>
    <w:rsid w:val="004B42EE"/>
    <w:rsid w:val="004B5203"/>
    <w:rsid w:val="004B53D5"/>
    <w:rsid w:val="004C11A9"/>
    <w:rsid w:val="004C2C03"/>
    <w:rsid w:val="004C3E6B"/>
    <w:rsid w:val="004D02F8"/>
    <w:rsid w:val="004D0C86"/>
    <w:rsid w:val="004D21E4"/>
    <w:rsid w:val="004D4ED7"/>
    <w:rsid w:val="004D5612"/>
    <w:rsid w:val="004D6051"/>
    <w:rsid w:val="004D62E1"/>
    <w:rsid w:val="004E051A"/>
    <w:rsid w:val="004E2811"/>
    <w:rsid w:val="004E2A1F"/>
    <w:rsid w:val="004E3723"/>
    <w:rsid w:val="004E4730"/>
    <w:rsid w:val="004E7FFE"/>
    <w:rsid w:val="004F1156"/>
    <w:rsid w:val="004F12C4"/>
    <w:rsid w:val="004F30E2"/>
    <w:rsid w:val="004F44BB"/>
    <w:rsid w:val="004F4AB4"/>
    <w:rsid w:val="004F7E9D"/>
    <w:rsid w:val="00500A64"/>
    <w:rsid w:val="00500C89"/>
    <w:rsid w:val="005020EC"/>
    <w:rsid w:val="005024A5"/>
    <w:rsid w:val="00503ADC"/>
    <w:rsid w:val="005051E8"/>
    <w:rsid w:val="00506CC8"/>
    <w:rsid w:val="0051057D"/>
    <w:rsid w:val="00513161"/>
    <w:rsid w:val="00516995"/>
    <w:rsid w:val="005172D8"/>
    <w:rsid w:val="00521779"/>
    <w:rsid w:val="00521D3F"/>
    <w:rsid w:val="005233E2"/>
    <w:rsid w:val="0052487A"/>
    <w:rsid w:val="0053084B"/>
    <w:rsid w:val="00530D56"/>
    <w:rsid w:val="00530FA6"/>
    <w:rsid w:val="005317F0"/>
    <w:rsid w:val="00532647"/>
    <w:rsid w:val="00534484"/>
    <w:rsid w:val="0053505B"/>
    <w:rsid w:val="005400EF"/>
    <w:rsid w:val="005408FB"/>
    <w:rsid w:val="00540ED9"/>
    <w:rsid w:val="0054108E"/>
    <w:rsid w:val="005410F4"/>
    <w:rsid w:val="0054203B"/>
    <w:rsid w:val="005422AF"/>
    <w:rsid w:val="00543F2E"/>
    <w:rsid w:val="00544AAA"/>
    <w:rsid w:val="00545BB9"/>
    <w:rsid w:val="00546759"/>
    <w:rsid w:val="00547C16"/>
    <w:rsid w:val="00551C01"/>
    <w:rsid w:val="00552E7C"/>
    <w:rsid w:val="00553C64"/>
    <w:rsid w:val="00556409"/>
    <w:rsid w:val="005568E6"/>
    <w:rsid w:val="00557346"/>
    <w:rsid w:val="00557F42"/>
    <w:rsid w:val="00557FF0"/>
    <w:rsid w:val="005612E4"/>
    <w:rsid w:val="00561F04"/>
    <w:rsid w:val="00562067"/>
    <w:rsid w:val="005632E9"/>
    <w:rsid w:val="00564325"/>
    <w:rsid w:val="005663FC"/>
    <w:rsid w:val="00570A20"/>
    <w:rsid w:val="00573AE3"/>
    <w:rsid w:val="00573B61"/>
    <w:rsid w:val="00575D6C"/>
    <w:rsid w:val="00576931"/>
    <w:rsid w:val="0058267C"/>
    <w:rsid w:val="00582AF0"/>
    <w:rsid w:val="00583D71"/>
    <w:rsid w:val="0058427D"/>
    <w:rsid w:val="00584BBD"/>
    <w:rsid w:val="00584C68"/>
    <w:rsid w:val="0058569D"/>
    <w:rsid w:val="005905D0"/>
    <w:rsid w:val="00590795"/>
    <w:rsid w:val="00591531"/>
    <w:rsid w:val="00591B94"/>
    <w:rsid w:val="005922DE"/>
    <w:rsid w:val="00592595"/>
    <w:rsid w:val="00593629"/>
    <w:rsid w:val="005936EE"/>
    <w:rsid w:val="00594854"/>
    <w:rsid w:val="0059592A"/>
    <w:rsid w:val="005A15E3"/>
    <w:rsid w:val="005A19D7"/>
    <w:rsid w:val="005A3079"/>
    <w:rsid w:val="005A32EB"/>
    <w:rsid w:val="005A3A26"/>
    <w:rsid w:val="005A4FFD"/>
    <w:rsid w:val="005A511D"/>
    <w:rsid w:val="005A7AE0"/>
    <w:rsid w:val="005A7CC4"/>
    <w:rsid w:val="005B24B1"/>
    <w:rsid w:val="005B6406"/>
    <w:rsid w:val="005B7E6F"/>
    <w:rsid w:val="005C00B4"/>
    <w:rsid w:val="005C0C0A"/>
    <w:rsid w:val="005C13C0"/>
    <w:rsid w:val="005C33F6"/>
    <w:rsid w:val="005C438E"/>
    <w:rsid w:val="005C4699"/>
    <w:rsid w:val="005C4861"/>
    <w:rsid w:val="005C5B40"/>
    <w:rsid w:val="005C5B4E"/>
    <w:rsid w:val="005C7190"/>
    <w:rsid w:val="005D100D"/>
    <w:rsid w:val="005D1433"/>
    <w:rsid w:val="005D34C9"/>
    <w:rsid w:val="005D3B05"/>
    <w:rsid w:val="005D44E9"/>
    <w:rsid w:val="005D6A91"/>
    <w:rsid w:val="005E09E2"/>
    <w:rsid w:val="005E2079"/>
    <w:rsid w:val="005E3F6D"/>
    <w:rsid w:val="005E4AEB"/>
    <w:rsid w:val="005E59D0"/>
    <w:rsid w:val="005E6CCC"/>
    <w:rsid w:val="005E6D7F"/>
    <w:rsid w:val="005E6F58"/>
    <w:rsid w:val="005F03BD"/>
    <w:rsid w:val="005F0511"/>
    <w:rsid w:val="005F0867"/>
    <w:rsid w:val="005F0A2D"/>
    <w:rsid w:val="005F246C"/>
    <w:rsid w:val="005F3967"/>
    <w:rsid w:val="005F3A88"/>
    <w:rsid w:val="005F3D3C"/>
    <w:rsid w:val="005F6DEB"/>
    <w:rsid w:val="005F78DB"/>
    <w:rsid w:val="00601AD1"/>
    <w:rsid w:val="00602840"/>
    <w:rsid w:val="00602F78"/>
    <w:rsid w:val="0060339B"/>
    <w:rsid w:val="00603B39"/>
    <w:rsid w:val="006050A2"/>
    <w:rsid w:val="00605F61"/>
    <w:rsid w:val="00606D10"/>
    <w:rsid w:val="00614CF8"/>
    <w:rsid w:val="00620D98"/>
    <w:rsid w:val="006210BC"/>
    <w:rsid w:val="00621821"/>
    <w:rsid w:val="00624C2A"/>
    <w:rsid w:val="0062624E"/>
    <w:rsid w:val="00627A67"/>
    <w:rsid w:val="006313A4"/>
    <w:rsid w:val="00631625"/>
    <w:rsid w:val="006322DB"/>
    <w:rsid w:val="00632786"/>
    <w:rsid w:val="0064195E"/>
    <w:rsid w:val="006426B5"/>
    <w:rsid w:val="0064489E"/>
    <w:rsid w:val="00647EE6"/>
    <w:rsid w:val="006504C7"/>
    <w:rsid w:val="00651118"/>
    <w:rsid w:val="00651F41"/>
    <w:rsid w:val="00656C2B"/>
    <w:rsid w:val="00656EDC"/>
    <w:rsid w:val="006570F7"/>
    <w:rsid w:val="00661281"/>
    <w:rsid w:val="0066211D"/>
    <w:rsid w:val="00662FEC"/>
    <w:rsid w:val="00663053"/>
    <w:rsid w:val="006630C6"/>
    <w:rsid w:val="00665763"/>
    <w:rsid w:val="006665DA"/>
    <w:rsid w:val="00667070"/>
    <w:rsid w:val="00670B75"/>
    <w:rsid w:val="00671F5E"/>
    <w:rsid w:val="0067235A"/>
    <w:rsid w:val="00672D69"/>
    <w:rsid w:val="00676939"/>
    <w:rsid w:val="00677403"/>
    <w:rsid w:val="00682C98"/>
    <w:rsid w:val="0068417F"/>
    <w:rsid w:val="006856C5"/>
    <w:rsid w:val="0068609F"/>
    <w:rsid w:val="006929EE"/>
    <w:rsid w:val="00692D59"/>
    <w:rsid w:val="00694819"/>
    <w:rsid w:val="00694E8B"/>
    <w:rsid w:val="00696301"/>
    <w:rsid w:val="006977AD"/>
    <w:rsid w:val="006978ED"/>
    <w:rsid w:val="006A0328"/>
    <w:rsid w:val="006A0EFA"/>
    <w:rsid w:val="006A17CD"/>
    <w:rsid w:val="006A212A"/>
    <w:rsid w:val="006A4ECE"/>
    <w:rsid w:val="006A52FD"/>
    <w:rsid w:val="006A6785"/>
    <w:rsid w:val="006B021C"/>
    <w:rsid w:val="006B05B9"/>
    <w:rsid w:val="006B2361"/>
    <w:rsid w:val="006B27F4"/>
    <w:rsid w:val="006B3493"/>
    <w:rsid w:val="006B35B2"/>
    <w:rsid w:val="006B59E1"/>
    <w:rsid w:val="006B6533"/>
    <w:rsid w:val="006B7FC5"/>
    <w:rsid w:val="006C045B"/>
    <w:rsid w:val="006C1150"/>
    <w:rsid w:val="006C2766"/>
    <w:rsid w:val="006C2F8A"/>
    <w:rsid w:val="006C3C7E"/>
    <w:rsid w:val="006C5ECF"/>
    <w:rsid w:val="006C7A3D"/>
    <w:rsid w:val="006D330D"/>
    <w:rsid w:val="006D5320"/>
    <w:rsid w:val="006E1A91"/>
    <w:rsid w:val="006E1C38"/>
    <w:rsid w:val="006E777A"/>
    <w:rsid w:val="006F056A"/>
    <w:rsid w:val="006F081D"/>
    <w:rsid w:val="006F0DDA"/>
    <w:rsid w:val="006F20FD"/>
    <w:rsid w:val="006F3572"/>
    <w:rsid w:val="006F4A6C"/>
    <w:rsid w:val="006F4B89"/>
    <w:rsid w:val="00700B15"/>
    <w:rsid w:val="00700DEA"/>
    <w:rsid w:val="007017A5"/>
    <w:rsid w:val="007018A3"/>
    <w:rsid w:val="007024A2"/>
    <w:rsid w:val="007025B4"/>
    <w:rsid w:val="00703D9A"/>
    <w:rsid w:val="00704B89"/>
    <w:rsid w:val="00706A66"/>
    <w:rsid w:val="00710E0C"/>
    <w:rsid w:val="0071204D"/>
    <w:rsid w:val="00712116"/>
    <w:rsid w:val="00712863"/>
    <w:rsid w:val="007128D4"/>
    <w:rsid w:val="00713BC5"/>
    <w:rsid w:val="00713CB2"/>
    <w:rsid w:val="0071551C"/>
    <w:rsid w:val="00720C63"/>
    <w:rsid w:val="0072461D"/>
    <w:rsid w:val="0072778A"/>
    <w:rsid w:val="00727B9F"/>
    <w:rsid w:val="00727E17"/>
    <w:rsid w:val="00730995"/>
    <w:rsid w:val="0073261C"/>
    <w:rsid w:val="00732DDB"/>
    <w:rsid w:val="007333D6"/>
    <w:rsid w:val="00736D12"/>
    <w:rsid w:val="0073706F"/>
    <w:rsid w:val="007438F5"/>
    <w:rsid w:val="0074749D"/>
    <w:rsid w:val="0074757B"/>
    <w:rsid w:val="00750A22"/>
    <w:rsid w:val="00750E21"/>
    <w:rsid w:val="007516D5"/>
    <w:rsid w:val="00752BA7"/>
    <w:rsid w:val="0075382C"/>
    <w:rsid w:val="00754E95"/>
    <w:rsid w:val="00756088"/>
    <w:rsid w:val="007572A4"/>
    <w:rsid w:val="007572C5"/>
    <w:rsid w:val="00761FBA"/>
    <w:rsid w:val="00763193"/>
    <w:rsid w:val="00764A6D"/>
    <w:rsid w:val="00765255"/>
    <w:rsid w:val="0076626B"/>
    <w:rsid w:val="00766B1C"/>
    <w:rsid w:val="00770855"/>
    <w:rsid w:val="00771147"/>
    <w:rsid w:val="00771C0E"/>
    <w:rsid w:val="00772C0B"/>
    <w:rsid w:val="00772CE8"/>
    <w:rsid w:val="0077343D"/>
    <w:rsid w:val="0077424B"/>
    <w:rsid w:val="00774665"/>
    <w:rsid w:val="0077475E"/>
    <w:rsid w:val="00775C91"/>
    <w:rsid w:val="007760C1"/>
    <w:rsid w:val="00776E69"/>
    <w:rsid w:val="00783291"/>
    <w:rsid w:val="007840FC"/>
    <w:rsid w:val="0078460B"/>
    <w:rsid w:val="00790C46"/>
    <w:rsid w:val="00791CFB"/>
    <w:rsid w:val="00792DEE"/>
    <w:rsid w:val="00794E45"/>
    <w:rsid w:val="00795356"/>
    <w:rsid w:val="00797E9E"/>
    <w:rsid w:val="007A2B57"/>
    <w:rsid w:val="007A4BD9"/>
    <w:rsid w:val="007A4FD9"/>
    <w:rsid w:val="007B01AB"/>
    <w:rsid w:val="007B0464"/>
    <w:rsid w:val="007B20D2"/>
    <w:rsid w:val="007B34F5"/>
    <w:rsid w:val="007B6CE9"/>
    <w:rsid w:val="007B7015"/>
    <w:rsid w:val="007B7E5F"/>
    <w:rsid w:val="007C0320"/>
    <w:rsid w:val="007C07EB"/>
    <w:rsid w:val="007C2802"/>
    <w:rsid w:val="007C2BDE"/>
    <w:rsid w:val="007C31D7"/>
    <w:rsid w:val="007C359C"/>
    <w:rsid w:val="007C39AB"/>
    <w:rsid w:val="007C52CA"/>
    <w:rsid w:val="007C5316"/>
    <w:rsid w:val="007C7A84"/>
    <w:rsid w:val="007D6D75"/>
    <w:rsid w:val="007E0FFA"/>
    <w:rsid w:val="007E2554"/>
    <w:rsid w:val="007E4735"/>
    <w:rsid w:val="007E579E"/>
    <w:rsid w:val="007E778B"/>
    <w:rsid w:val="007F263C"/>
    <w:rsid w:val="007F35C8"/>
    <w:rsid w:val="007F55BF"/>
    <w:rsid w:val="0080031E"/>
    <w:rsid w:val="00802406"/>
    <w:rsid w:val="00804813"/>
    <w:rsid w:val="00804B70"/>
    <w:rsid w:val="00804D4F"/>
    <w:rsid w:val="00812034"/>
    <w:rsid w:val="0081290F"/>
    <w:rsid w:val="00813432"/>
    <w:rsid w:val="00821465"/>
    <w:rsid w:val="00821527"/>
    <w:rsid w:val="008216E4"/>
    <w:rsid w:val="00824423"/>
    <w:rsid w:val="008323F5"/>
    <w:rsid w:val="00836DD8"/>
    <w:rsid w:val="00837BBB"/>
    <w:rsid w:val="00841F3C"/>
    <w:rsid w:val="0084267C"/>
    <w:rsid w:val="00844B53"/>
    <w:rsid w:val="00844C41"/>
    <w:rsid w:val="00847284"/>
    <w:rsid w:val="00847CB8"/>
    <w:rsid w:val="00851D84"/>
    <w:rsid w:val="008531C5"/>
    <w:rsid w:val="008531F4"/>
    <w:rsid w:val="00853879"/>
    <w:rsid w:val="00853934"/>
    <w:rsid w:val="008540DB"/>
    <w:rsid w:val="00856070"/>
    <w:rsid w:val="008613DF"/>
    <w:rsid w:val="008643A1"/>
    <w:rsid w:val="00867F0D"/>
    <w:rsid w:val="00870667"/>
    <w:rsid w:val="00871360"/>
    <w:rsid w:val="00872890"/>
    <w:rsid w:val="008777FF"/>
    <w:rsid w:val="00880F7C"/>
    <w:rsid w:val="00880FF5"/>
    <w:rsid w:val="00882DB6"/>
    <w:rsid w:val="00882FF9"/>
    <w:rsid w:val="008835A9"/>
    <w:rsid w:val="00884B9D"/>
    <w:rsid w:val="00890F67"/>
    <w:rsid w:val="00891826"/>
    <w:rsid w:val="00891F93"/>
    <w:rsid w:val="008928A9"/>
    <w:rsid w:val="0089326D"/>
    <w:rsid w:val="00893370"/>
    <w:rsid w:val="00897175"/>
    <w:rsid w:val="008973FF"/>
    <w:rsid w:val="008A16A0"/>
    <w:rsid w:val="008A23A2"/>
    <w:rsid w:val="008A23F5"/>
    <w:rsid w:val="008A4806"/>
    <w:rsid w:val="008A53DE"/>
    <w:rsid w:val="008B029F"/>
    <w:rsid w:val="008B2D12"/>
    <w:rsid w:val="008B3E33"/>
    <w:rsid w:val="008B63E3"/>
    <w:rsid w:val="008B7600"/>
    <w:rsid w:val="008B7669"/>
    <w:rsid w:val="008C1AE9"/>
    <w:rsid w:val="008C557F"/>
    <w:rsid w:val="008C7FD5"/>
    <w:rsid w:val="008D12B9"/>
    <w:rsid w:val="008D1964"/>
    <w:rsid w:val="008D2433"/>
    <w:rsid w:val="008D2FA1"/>
    <w:rsid w:val="008D3043"/>
    <w:rsid w:val="008D38FE"/>
    <w:rsid w:val="008D5139"/>
    <w:rsid w:val="008D59F0"/>
    <w:rsid w:val="008D6587"/>
    <w:rsid w:val="008D7937"/>
    <w:rsid w:val="008E0807"/>
    <w:rsid w:val="008E4B85"/>
    <w:rsid w:val="008E5286"/>
    <w:rsid w:val="008E66A5"/>
    <w:rsid w:val="008F000E"/>
    <w:rsid w:val="008F049A"/>
    <w:rsid w:val="008F138C"/>
    <w:rsid w:val="008F23F1"/>
    <w:rsid w:val="008F2855"/>
    <w:rsid w:val="008F3369"/>
    <w:rsid w:val="008F6049"/>
    <w:rsid w:val="009001FE"/>
    <w:rsid w:val="0090141E"/>
    <w:rsid w:val="00901D06"/>
    <w:rsid w:val="00903B23"/>
    <w:rsid w:val="00904161"/>
    <w:rsid w:val="00904276"/>
    <w:rsid w:val="009044EC"/>
    <w:rsid w:val="00904F08"/>
    <w:rsid w:val="00904F0D"/>
    <w:rsid w:val="00907382"/>
    <w:rsid w:val="0091209E"/>
    <w:rsid w:val="00912249"/>
    <w:rsid w:val="00913F20"/>
    <w:rsid w:val="00913F74"/>
    <w:rsid w:val="00914734"/>
    <w:rsid w:val="009147A0"/>
    <w:rsid w:val="009152C0"/>
    <w:rsid w:val="00915E23"/>
    <w:rsid w:val="00920BDE"/>
    <w:rsid w:val="00921BA6"/>
    <w:rsid w:val="00922DDC"/>
    <w:rsid w:val="00923A8B"/>
    <w:rsid w:val="0092460A"/>
    <w:rsid w:val="00925A9D"/>
    <w:rsid w:val="00926C68"/>
    <w:rsid w:val="00930FE6"/>
    <w:rsid w:val="0093111C"/>
    <w:rsid w:val="0093275C"/>
    <w:rsid w:val="0093285D"/>
    <w:rsid w:val="00934D9C"/>
    <w:rsid w:val="0094149C"/>
    <w:rsid w:val="00942339"/>
    <w:rsid w:val="0094415D"/>
    <w:rsid w:val="009469BF"/>
    <w:rsid w:val="0094785F"/>
    <w:rsid w:val="0095032A"/>
    <w:rsid w:val="00951897"/>
    <w:rsid w:val="00951EF2"/>
    <w:rsid w:val="00954087"/>
    <w:rsid w:val="00955641"/>
    <w:rsid w:val="00955CF7"/>
    <w:rsid w:val="0095619C"/>
    <w:rsid w:val="00961065"/>
    <w:rsid w:val="00962E89"/>
    <w:rsid w:val="0096308A"/>
    <w:rsid w:val="00963AB2"/>
    <w:rsid w:val="00965018"/>
    <w:rsid w:val="00965559"/>
    <w:rsid w:val="00966A1E"/>
    <w:rsid w:val="00967A19"/>
    <w:rsid w:val="00971842"/>
    <w:rsid w:val="00972133"/>
    <w:rsid w:val="009764D6"/>
    <w:rsid w:val="009766C7"/>
    <w:rsid w:val="00981015"/>
    <w:rsid w:val="00981650"/>
    <w:rsid w:val="009819F5"/>
    <w:rsid w:val="0098235D"/>
    <w:rsid w:val="00982E7C"/>
    <w:rsid w:val="00983653"/>
    <w:rsid w:val="00984610"/>
    <w:rsid w:val="00985903"/>
    <w:rsid w:val="00995F3B"/>
    <w:rsid w:val="009967BC"/>
    <w:rsid w:val="009A2854"/>
    <w:rsid w:val="009A297A"/>
    <w:rsid w:val="009B088B"/>
    <w:rsid w:val="009B15FD"/>
    <w:rsid w:val="009B290B"/>
    <w:rsid w:val="009B2B6E"/>
    <w:rsid w:val="009B3714"/>
    <w:rsid w:val="009B7C7A"/>
    <w:rsid w:val="009B7E7E"/>
    <w:rsid w:val="009C0E53"/>
    <w:rsid w:val="009C1583"/>
    <w:rsid w:val="009C2E82"/>
    <w:rsid w:val="009C4110"/>
    <w:rsid w:val="009C466D"/>
    <w:rsid w:val="009C49B0"/>
    <w:rsid w:val="009C4C52"/>
    <w:rsid w:val="009C4D67"/>
    <w:rsid w:val="009C5F57"/>
    <w:rsid w:val="009C65C5"/>
    <w:rsid w:val="009D447C"/>
    <w:rsid w:val="009D5BB5"/>
    <w:rsid w:val="009D5F09"/>
    <w:rsid w:val="009E2129"/>
    <w:rsid w:val="009E243A"/>
    <w:rsid w:val="009E26D1"/>
    <w:rsid w:val="009E2912"/>
    <w:rsid w:val="009F0B36"/>
    <w:rsid w:val="009F1EB7"/>
    <w:rsid w:val="009F276C"/>
    <w:rsid w:val="009F2773"/>
    <w:rsid w:val="009F3C47"/>
    <w:rsid w:val="009F468E"/>
    <w:rsid w:val="00A004BD"/>
    <w:rsid w:val="00A01AFD"/>
    <w:rsid w:val="00A01FCE"/>
    <w:rsid w:val="00A03870"/>
    <w:rsid w:val="00A03D8B"/>
    <w:rsid w:val="00A04008"/>
    <w:rsid w:val="00A07D1A"/>
    <w:rsid w:val="00A100DD"/>
    <w:rsid w:val="00A159DD"/>
    <w:rsid w:val="00A164FE"/>
    <w:rsid w:val="00A17099"/>
    <w:rsid w:val="00A205D9"/>
    <w:rsid w:val="00A2118E"/>
    <w:rsid w:val="00A21835"/>
    <w:rsid w:val="00A2450A"/>
    <w:rsid w:val="00A25C05"/>
    <w:rsid w:val="00A3021B"/>
    <w:rsid w:val="00A31746"/>
    <w:rsid w:val="00A36E90"/>
    <w:rsid w:val="00A37260"/>
    <w:rsid w:val="00A37609"/>
    <w:rsid w:val="00A4023C"/>
    <w:rsid w:val="00A41691"/>
    <w:rsid w:val="00A41C32"/>
    <w:rsid w:val="00A426BB"/>
    <w:rsid w:val="00A42C69"/>
    <w:rsid w:val="00A44978"/>
    <w:rsid w:val="00A5123C"/>
    <w:rsid w:val="00A5234A"/>
    <w:rsid w:val="00A523E3"/>
    <w:rsid w:val="00A52F41"/>
    <w:rsid w:val="00A53508"/>
    <w:rsid w:val="00A54181"/>
    <w:rsid w:val="00A54684"/>
    <w:rsid w:val="00A56390"/>
    <w:rsid w:val="00A56738"/>
    <w:rsid w:val="00A56CE9"/>
    <w:rsid w:val="00A631DD"/>
    <w:rsid w:val="00A63553"/>
    <w:rsid w:val="00A63DBF"/>
    <w:rsid w:val="00A63EE6"/>
    <w:rsid w:val="00A64ECD"/>
    <w:rsid w:val="00A65C4F"/>
    <w:rsid w:val="00A6616E"/>
    <w:rsid w:val="00A71619"/>
    <w:rsid w:val="00A7370E"/>
    <w:rsid w:val="00A7620A"/>
    <w:rsid w:val="00A76CEA"/>
    <w:rsid w:val="00A77188"/>
    <w:rsid w:val="00A83724"/>
    <w:rsid w:val="00A84AA8"/>
    <w:rsid w:val="00A8575C"/>
    <w:rsid w:val="00A90835"/>
    <w:rsid w:val="00A95344"/>
    <w:rsid w:val="00A9568D"/>
    <w:rsid w:val="00A97731"/>
    <w:rsid w:val="00A97C9F"/>
    <w:rsid w:val="00AA0CA0"/>
    <w:rsid w:val="00AA30A1"/>
    <w:rsid w:val="00AA4802"/>
    <w:rsid w:val="00AA59D2"/>
    <w:rsid w:val="00AA5A7C"/>
    <w:rsid w:val="00AA67E5"/>
    <w:rsid w:val="00AA69A0"/>
    <w:rsid w:val="00AA6C18"/>
    <w:rsid w:val="00AB2590"/>
    <w:rsid w:val="00AB4302"/>
    <w:rsid w:val="00AC1491"/>
    <w:rsid w:val="00AC36E1"/>
    <w:rsid w:val="00AC39D4"/>
    <w:rsid w:val="00AC50D8"/>
    <w:rsid w:val="00AC6BD2"/>
    <w:rsid w:val="00AD168F"/>
    <w:rsid w:val="00AD1E83"/>
    <w:rsid w:val="00AD1F2C"/>
    <w:rsid w:val="00AD3471"/>
    <w:rsid w:val="00AD467F"/>
    <w:rsid w:val="00AE03B5"/>
    <w:rsid w:val="00AE11F5"/>
    <w:rsid w:val="00AE208C"/>
    <w:rsid w:val="00AE3D12"/>
    <w:rsid w:val="00AE500A"/>
    <w:rsid w:val="00AF0611"/>
    <w:rsid w:val="00AF0FE7"/>
    <w:rsid w:val="00AF1CB2"/>
    <w:rsid w:val="00AF4A32"/>
    <w:rsid w:val="00AF74B2"/>
    <w:rsid w:val="00B0180F"/>
    <w:rsid w:val="00B02BFA"/>
    <w:rsid w:val="00B03226"/>
    <w:rsid w:val="00B04AC1"/>
    <w:rsid w:val="00B05E49"/>
    <w:rsid w:val="00B108CE"/>
    <w:rsid w:val="00B12B35"/>
    <w:rsid w:val="00B132DB"/>
    <w:rsid w:val="00B143E8"/>
    <w:rsid w:val="00B155E0"/>
    <w:rsid w:val="00B15D45"/>
    <w:rsid w:val="00B17145"/>
    <w:rsid w:val="00B172C5"/>
    <w:rsid w:val="00B17ED1"/>
    <w:rsid w:val="00B2011E"/>
    <w:rsid w:val="00B20ECD"/>
    <w:rsid w:val="00B2142E"/>
    <w:rsid w:val="00B21873"/>
    <w:rsid w:val="00B22553"/>
    <w:rsid w:val="00B23436"/>
    <w:rsid w:val="00B23E5D"/>
    <w:rsid w:val="00B24019"/>
    <w:rsid w:val="00B249E0"/>
    <w:rsid w:val="00B2752D"/>
    <w:rsid w:val="00B27D0D"/>
    <w:rsid w:val="00B30082"/>
    <w:rsid w:val="00B30EEE"/>
    <w:rsid w:val="00B31A13"/>
    <w:rsid w:val="00B31CB8"/>
    <w:rsid w:val="00B361CF"/>
    <w:rsid w:val="00B4187B"/>
    <w:rsid w:val="00B41B28"/>
    <w:rsid w:val="00B41E25"/>
    <w:rsid w:val="00B420A7"/>
    <w:rsid w:val="00B44FDE"/>
    <w:rsid w:val="00B47707"/>
    <w:rsid w:val="00B51514"/>
    <w:rsid w:val="00B51D0B"/>
    <w:rsid w:val="00B521EA"/>
    <w:rsid w:val="00B53044"/>
    <w:rsid w:val="00B53A7F"/>
    <w:rsid w:val="00B54D45"/>
    <w:rsid w:val="00B573C3"/>
    <w:rsid w:val="00B57560"/>
    <w:rsid w:val="00B600DE"/>
    <w:rsid w:val="00B60C5F"/>
    <w:rsid w:val="00B61AA6"/>
    <w:rsid w:val="00B61F3E"/>
    <w:rsid w:val="00B624EE"/>
    <w:rsid w:val="00B64563"/>
    <w:rsid w:val="00B65DA7"/>
    <w:rsid w:val="00B662C7"/>
    <w:rsid w:val="00B6667A"/>
    <w:rsid w:val="00B67BF8"/>
    <w:rsid w:val="00B75281"/>
    <w:rsid w:val="00B761ED"/>
    <w:rsid w:val="00B768FE"/>
    <w:rsid w:val="00B8040B"/>
    <w:rsid w:val="00B8125C"/>
    <w:rsid w:val="00B82250"/>
    <w:rsid w:val="00B83F43"/>
    <w:rsid w:val="00B840CE"/>
    <w:rsid w:val="00B84157"/>
    <w:rsid w:val="00B853D7"/>
    <w:rsid w:val="00B85A96"/>
    <w:rsid w:val="00B90852"/>
    <w:rsid w:val="00B90A94"/>
    <w:rsid w:val="00B91E38"/>
    <w:rsid w:val="00B91E70"/>
    <w:rsid w:val="00B91EDB"/>
    <w:rsid w:val="00B92D41"/>
    <w:rsid w:val="00B93BD6"/>
    <w:rsid w:val="00B955F1"/>
    <w:rsid w:val="00B970C8"/>
    <w:rsid w:val="00BB618D"/>
    <w:rsid w:val="00BB6F47"/>
    <w:rsid w:val="00BC0AE4"/>
    <w:rsid w:val="00BC4121"/>
    <w:rsid w:val="00BC48E9"/>
    <w:rsid w:val="00BC50F7"/>
    <w:rsid w:val="00BC71F7"/>
    <w:rsid w:val="00BC7EFF"/>
    <w:rsid w:val="00BC7FB8"/>
    <w:rsid w:val="00BD0822"/>
    <w:rsid w:val="00BD19D1"/>
    <w:rsid w:val="00BD3C8C"/>
    <w:rsid w:val="00BE1BAA"/>
    <w:rsid w:val="00BE2501"/>
    <w:rsid w:val="00BE261E"/>
    <w:rsid w:val="00BE32D1"/>
    <w:rsid w:val="00BE35AC"/>
    <w:rsid w:val="00BE5E36"/>
    <w:rsid w:val="00BE6C7E"/>
    <w:rsid w:val="00BE74CC"/>
    <w:rsid w:val="00BE75A8"/>
    <w:rsid w:val="00BF186F"/>
    <w:rsid w:val="00BF2435"/>
    <w:rsid w:val="00BF2F69"/>
    <w:rsid w:val="00BF3158"/>
    <w:rsid w:val="00BF4E2F"/>
    <w:rsid w:val="00BF7E24"/>
    <w:rsid w:val="00C011DD"/>
    <w:rsid w:val="00C03FED"/>
    <w:rsid w:val="00C04104"/>
    <w:rsid w:val="00C05899"/>
    <w:rsid w:val="00C05B01"/>
    <w:rsid w:val="00C06709"/>
    <w:rsid w:val="00C12EE1"/>
    <w:rsid w:val="00C13C08"/>
    <w:rsid w:val="00C15368"/>
    <w:rsid w:val="00C167F0"/>
    <w:rsid w:val="00C16B25"/>
    <w:rsid w:val="00C16C60"/>
    <w:rsid w:val="00C1767D"/>
    <w:rsid w:val="00C208BA"/>
    <w:rsid w:val="00C20C8F"/>
    <w:rsid w:val="00C21478"/>
    <w:rsid w:val="00C222F5"/>
    <w:rsid w:val="00C22475"/>
    <w:rsid w:val="00C22E35"/>
    <w:rsid w:val="00C24F5A"/>
    <w:rsid w:val="00C279C7"/>
    <w:rsid w:val="00C31919"/>
    <w:rsid w:val="00C3255C"/>
    <w:rsid w:val="00C32BB7"/>
    <w:rsid w:val="00C32D3B"/>
    <w:rsid w:val="00C33304"/>
    <w:rsid w:val="00C35AE8"/>
    <w:rsid w:val="00C5113C"/>
    <w:rsid w:val="00C51CCE"/>
    <w:rsid w:val="00C5512D"/>
    <w:rsid w:val="00C55CBD"/>
    <w:rsid w:val="00C56FF3"/>
    <w:rsid w:val="00C57A38"/>
    <w:rsid w:val="00C600F2"/>
    <w:rsid w:val="00C623A9"/>
    <w:rsid w:val="00C62770"/>
    <w:rsid w:val="00C63A03"/>
    <w:rsid w:val="00C66BEB"/>
    <w:rsid w:val="00C676A7"/>
    <w:rsid w:val="00C7204F"/>
    <w:rsid w:val="00C73F65"/>
    <w:rsid w:val="00C75B7B"/>
    <w:rsid w:val="00C761B2"/>
    <w:rsid w:val="00C81CF9"/>
    <w:rsid w:val="00C863E4"/>
    <w:rsid w:val="00C8678E"/>
    <w:rsid w:val="00C92385"/>
    <w:rsid w:val="00C936E3"/>
    <w:rsid w:val="00C9545F"/>
    <w:rsid w:val="00C96992"/>
    <w:rsid w:val="00C96DCD"/>
    <w:rsid w:val="00C9767B"/>
    <w:rsid w:val="00C97786"/>
    <w:rsid w:val="00C97AC7"/>
    <w:rsid w:val="00CA48F1"/>
    <w:rsid w:val="00CA51CD"/>
    <w:rsid w:val="00CA5283"/>
    <w:rsid w:val="00CA7FA7"/>
    <w:rsid w:val="00CB06F0"/>
    <w:rsid w:val="00CB0C36"/>
    <w:rsid w:val="00CB1C0B"/>
    <w:rsid w:val="00CB2F12"/>
    <w:rsid w:val="00CB38A8"/>
    <w:rsid w:val="00CB3E95"/>
    <w:rsid w:val="00CB3FE2"/>
    <w:rsid w:val="00CB4114"/>
    <w:rsid w:val="00CB4407"/>
    <w:rsid w:val="00CB6766"/>
    <w:rsid w:val="00CB7C4A"/>
    <w:rsid w:val="00CB7CEF"/>
    <w:rsid w:val="00CB7D3B"/>
    <w:rsid w:val="00CC4229"/>
    <w:rsid w:val="00CC57A1"/>
    <w:rsid w:val="00CC63D1"/>
    <w:rsid w:val="00CC6B2C"/>
    <w:rsid w:val="00CC7537"/>
    <w:rsid w:val="00CD1FA4"/>
    <w:rsid w:val="00CD2226"/>
    <w:rsid w:val="00CD2BB5"/>
    <w:rsid w:val="00CD2DC4"/>
    <w:rsid w:val="00CD3BC1"/>
    <w:rsid w:val="00CD4479"/>
    <w:rsid w:val="00CD4568"/>
    <w:rsid w:val="00CD45ED"/>
    <w:rsid w:val="00CD6B05"/>
    <w:rsid w:val="00CE283C"/>
    <w:rsid w:val="00CE5A8F"/>
    <w:rsid w:val="00CE5BEF"/>
    <w:rsid w:val="00CE6AEE"/>
    <w:rsid w:val="00CE77FB"/>
    <w:rsid w:val="00CF1B41"/>
    <w:rsid w:val="00CF1F94"/>
    <w:rsid w:val="00CF559C"/>
    <w:rsid w:val="00CF6288"/>
    <w:rsid w:val="00CF6CED"/>
    <w:rsid w:val="00D019E7"/>
    <w:rsid w:val="00D03E81"/>
    <w:rsid w:val="00D03E8C"/>
    <w:rsid w:val="00D0474C"/>
    <w:rsid w:val="00D06B1B"/>
    <w:rsid w:val="00D125A7"/>
    <w:rsid w:val="00D14B7B"/>
    <w:rsid w:val="00D14D65"/>
    <w:rsid w:val="00D14EDE"/>
    <w:rsid w:val="00D22920"/>
    <w:rsid w:val="00D22EEE"/>
    <w:rsid w:val="00D23B77"/>
    <w:rsid w:val="00D24914"/>
    <w:rsid w:val="00D26169"/>
    <w:rsid w:val="00D26B4B"/>
    <w:rsid w:val="00D30F31"/>
    <w:rsid w:val="00D32961"/>
    <w:rsid w:val="00D3318E"/>
    <w:rsid w:val="00D33C2E"/>
    <w:rsid w:val="00D33FF0"/>
    <w:rsid w:val="00D34BCC"/>
    <w:rsid w:val="00D372A1"/>
    <w:rsid w:val="00D42501"/>
    <w:rsid w:val="00D45776"/>
    <w:rsid w:val="00D5189A"/>
    <w:rsid w:val="00D52444"/>
    <w:rsid w:val="00D553F7"/>
    <w:rsid w:val="00D570AC"/>
    <w:rsid w:val="00D570E2"/>
    <w:rsid w:val="00D61C41"/>
    <w:rsid w:val="00D63046"/>
    <w:rsid w:val="00D64FB5"/>
    <w:rsid w:val="00D654F8"/>
    <w:rsid w:val="00D6792C"/>
    <w:rsid w:val="00D71DD4"/>
    <w:rsid w:val="00D7380A"/>
    <w:rsid w:val="00D74A7F"/>
    <w:rsid w:val="00D76103"/>
    <w:rsid w:val="00D77193"/>
    <w:rsid w:val="00D77892"/>
    <w:rsid w:val="00D80C87"/>
    <w:rsid w:val="00D81D53"/>
    <w:rsid w:val="00D84B15"/>
    <w:rsid w:val="00D84C4D"/>
    <w:rsid w:val="00D929E6"/>
    <w:rsid w:val="00D94F89"/>
    <w:rsid w:val="00D976C2"/>
    <w:rsid w:val="00DA0C98"/>
    <w:rsid w:val="00DA4CAA"/>
    <w:rsid w:val="00DA74B0"/>
    <w:rsid w:val="00DB21D1"/>
    <w:rsid w:val="00DB596B"/>
    <w:rsid w:val="00DB6497"/>
    <w:rsid w:val="00DB65AF"/>
    <w:rsid w:val="00DB6D6A"/>
    <w:rsid w:val="00DC21E0"/>
    <w:rsid w:val="00DC285B"/>
    <w:rsid w:val="00DC2C79"/>
    <w:rsid w:val="00DC5701"/>
    <w:rsid w:val="00DC57C6"/>
    <w:rsid w:val="00DC6648"/>
    <w:rsid w:val="00DC71F5"/>
    <w:rsid w:val="00DD2672"/>
    <w:rsid w:val="00DD3BA5"/>
    <w:rsid w:val="00DD3D96"/>
    <w:rsid w:val="00DD548D"/>
    <w:rsid w:val="00DD594B"/>
    <w:rsid w:val="00DD7FE7"/>
    <w:rsid w:val="00DE065B"/>
    <w:rsid w:val="00DE079D"/>
    <w:rsid w:val="00DE2863"/>
    <w:rsid w:val="00DE4FAB"/>
    <w:rsid w:val="00DE6AB4"/>
    <w:rsid w:val="00DF1523"/>
    <w:rsid w:val="00DF7881"/>
    <w:rsid w:val="00E00104"/>
    <w:rsid w:val="00E00A68"/>
    <w:rsid w:val="00E0164E"/>
    <w:rsid w:val="00E01695"/>
    <w:rsid w:val="00E03040"/>
    <w:rsid w:val="00E04436"/>
    <w:rsid w:val="00E101B8"/>
    <w:rsid w:val="00E10A4A"/>
    <w:rsid w:val="00E125A8"/>
    <w:rsid w:val="00E14197"/>
    <w:rsid w:val="00E15F8A"/>
    <w:rsid w:val="00E178C3"/>
    <w:rsid w:val="00E1795E"/>
    <w:rsid w:val="00E21ABE"/>
    <w:rsid w:val="00E24B74"/>
    <w:rsid w:val="00E30B8D"/>
    <w:rsid w:val="00E320AB"/>
    <w:rsid w:val="00E32461"/>
    <w:rsid w:val="00E32768"/>
    <w:rsid w:val="00E3413F"/>
    <w:rsid w:val="00E368F9"/>
    <w:rsid w:val="00E36F45"/>
    <w:rsid w:val="00E4058D"/>
    <w:rsid w:val="00E436FF"/>
    <w:rsid w:val="00E50A8E"/>
    <w:rsid w:val="00E5220A"/>
    <w:rsid w:val="00E54B07"/>
    <w:rsid w:val="00E55E2B"/>
    <w:rsid w:val="00E561F9"/>
    <w:rsid w:val="00E5716B"/>
    <w:rsid w:val="00E60486"/>
    <w:rsid w:val="00E62848"/>
    <w:rsid w:val="00E65635"/>
    <w:rsid w:val="00E663DE"/>
    <w:rsid w:val="00E70234"/>
    <w:rsid w:val="00E704F1"/>
    <w:rsid w:val="00E71A9A"/>
    <w:rsid w:val="00E71E82"/>
    <w:rsid w:val="00E74F3D"/>
    <w:rsid w:val="00E767C2"/>
    <w:rsid w:val="00E806DB"/>
    <w:rsid w:val="00E80DEF"/>
    <w:rsid w:val="00E829CF"/>
    <w:rsid w:val="00E83120"/>
    <w:rsid w:val="00E8398D"/>
    <w:rsid w:val="00E83F5C"/>
    <w:rsid w:val="00E85634"/>
    <w:rsid w:val="00E859BF"/>
    <w:rsid w:val="00E86A43"/>
    <w:rsid w:val="00E8740C"/>
    <w:rsid w:val="00E901D4"/>
    <w:rsid w:val="00E913E7"/>
    <w:rsid w:val="00E91A60"/>
    <w:rsid w:val="00E92254"/>
    <w:rsid w:val="00E9243F"/>
    <w:rsid w:val="00E9381E"/>
    <w:rsid w:val="00E94457"/>
    <w:rsid w:val="00E949ED"/>
    <w:rsid w:val="00E94B9E"/>
    <w:rsid w:val="00E95C70"/>
    <w:rsid w:val="00E965A2"/>
    <w:rsid w:val="00E96616"/>
    <w:rsid w:val="00E96657"/>
    <w:rsid w:val="00E972B0"/>
    <w:rsid w:val="00EA3883"/>
    <w:rsid w:val="00EA7B6C"/>
    <w:rsid w:val="00EB1BA4"/>
    <w:rsid w:val="00EB20D8"/>
    <w:rsid w:val="00EB461C"/>
    <w:rsid w:val="00EB6286"/>
    <w:rsid w:val="00EC0EFE"/>
    <w:rsid w:val="00EC243F"/>
    <w:rsid w:val="00EC6A0C"/>
    <w:rsid w:val="00EC7488"/>
    <w:rsid w:val="00ED0CF9"/>
    <w:rsid w:val="00ED0D7F"/>
    <w:rsid w:val="00ED18E7"/>
    <w:rsid w:val="00ED3DCB"/>
    <w:rsid w:val="00ED4109"/>
    <w:rsid w:val="00ED4360"/>
    <w:rsid w:val="00ED6FC2"/>
    <w:rsid w:val="00ED7A18"/>
    <w:rsid w:val="00EE0BAB"/>
    <w:rsid w:val="00EE18DC"/>
    <w:rsid w:val="00EE5B0B"/>
    <w:rsid w:val="00EF2506"/>
    <w:rsid w:val="00EF4FD1"/>
    <w:rsid w:val="00EF52E6"/>
    <w:rsid w:val="00EF533E"/>
    <w:rsid w:val="00EF6642"/>
    <w:rsid w:val="00F0081F"/>
    <w:rsid w:val="00F0158B"/>
    <w:rsid w:val="00F03283"/>
    <w:rsid w:val="00F03DD0"/>
    <w:rsid w:val="00F0408D"/>
    <w:rsid w:val="00F102A0"/>
    <w:rsid w:val="00F10FB4"/>
    <w:rsid w:val="00F11F87"/>
    <w:rsid w:val="00F12B61"/>
    <w:rsid w:val="00F14585"/>
    <w:rsid w:val="00F15907"/>
    <w:rsid w:val="00F17A07"/>
    <w:rsid w:val="00F200F3"/>
    <w:rsid w:val="00F2075C"/>
    <w:rsid w:val="00F22DB9"/>
    <w:rsid w:val="00F244C2"/>
    <w:rsid w:val="00F2483F"/>
    <w:rsid w:val="00F25D87"/>
    <w:rsid w:val="00F31552"/>
    <w:rsid w:val="00F31D31"/>
    <w:rsid w:val="00F33D5C"/>
    <w:rsid w:val="00F35010"/>
    <w:rsid w:val="00F36DDC"/>
    <w:rsid w:val="00F37F84"/>
    <w:rsid w:val="00F42A2E"/>
    <w:rsid w:val="00F42CB2"/>
    <w:rsid w:val="00F43C4A"/>
    <w:rsid w:val="00F45D8A"/>
    <w:rsid w:val="00F478BB"/>
    <w:rsid w:val="00F47E02"/>
    <w:rsid w:val="00F50ACB"/>
    <w:rsid w:val="00F53482"/>
    <w:rsid w:val="00F54FAE"/>
    <w:rsid w:val="00F5528C"/>
    <w:rsid w:val="00F563E3"/>
    <w:rsid w:val="00F60089"/>
    <w:rsid w:val="00F613F0"/>
    <w:rsid w:val="00F626A6"/>
    <w:rsid w:val="00F65114"/>
    <w:rsid w:val="00F6582A"/>
    <w:rsid w:val="00F662FE"/>
    <w:rsid w:val="00F677A5"/>
    <w:rsid w:val="00F706B0"/>
    <w:rsid w:val="00F70DCF"/>
    <w:rsid w:val="00F7132C"/>
    <w:rsid w:val="00F716E1"/>
    <w:rsid w:val="00F724A5"/>
    <w:rsid w:val="00F728B6"/>
    <w:rsid w:val="00F72F79"/>
    <w:rsid w:val="00F73966"/>
    <w:rsid w:val="00F740F9"/>
    <w:rsid w:val="00F74A4D"/>
    <w:rsid w:val="00F7675D"/>
    <w:rsid w:val="00F815BD"/>
    <w:rsid w:val="00F83768"/>
    <w:rsid w:val="00F84E93"/>
    <w:rsid w:val="00F92138"/>
    <w:rsid w:val="00F92BA6"/>
    <w:rsid w:val="00F92D15"/>
    <w:rsid w:val="00F9330B"/>
    <w:rsid w:val="00F9531A"/>
    <w:rsid w:val="00F96435"/>
    <w:rsid w:val="00F96554"/>
    <w:rsid w:val="00F96576"/>
    <w:rsid w:val="00F97886"/>
    <w:rsid w:val="00FA0D1A"/>
    <w:rsid w:val="00FA1149"/>
    <w:rsid w:val="00FA15AC"/>
    <w:rsid w:val="00FA4283"/>
    <w:rsid w:val="00FA6973"/>
    <w:rsid w:val="00FA785A"/>
    <w:rsid w:val="00FB1A63"/>
    <w:rsid w:val="00FB374C"/>
    <w:rsid w:val="00FB46FF"/>
    <w:rsid w:val="00FB5CC4"/>
    <w:rsid w:val="00FB70A7"/>
    <w:rsid w:val="00FB7371"/>
    <w:rsid w:val="00FB747A"/>
    <w:rsid w:val="00FB7C83"/>
    <w:rsid w:val="00FC14F0"/>
    <w:rsid w:val="00FC1DAF"/>
    <w:rsid w:val="00FC2CCD"/>
    <w:rsid w:val="00FC304A"/>
    <w:rsid w:val="00FC5E98"/>
    <w:rsid w:val="00FC6B62"/>
    <w:rsid w:val="00FC7F58"/>
    <w:rsid w:val="00FD0020"/>
    <w:rsid w:val="00FD0CE7"/>
    <w:rsid w:val="00FD1356"/>
    <w:rsid w:val="00FD1C38"/>
    <w:rsid w:val="00FD4B77"/>
    <w:rsid w:val="00FD4E47"/>
    <w:rsid w:val="00FD5CE4"/>
    <w:rsid w:val="00FD5DA2"/>
    <w:rsid w:val="00FD74A7"/>
    <w:rsid w:val="00FD76AA"/>
    <w:rsid w:val="00FE0E75"/>
    <w:rsid w:val="00FE1256"/>
    <w:rsid w:val="00FE2148"/>
    <w:rsid w:val="00FE291C"/>
    <w:rsid w:val="00FE44B6"/>
    <w:rsid w:val="00FE5B7E"/>
    <w:rsid w:val="00FE5C16"/>
    <w:rsid w:val="00FE64B9"/>
    <w:rsid w:val="00FE66BB"/>
    <w:rsid w:val="00FE715D"/>
    <w:rsid w:val="00FF13C7"/>
    <w:rsid w:val="00FF3D03"/>
    <w:rsid w:val="00FF4BAE"/>
    <w:rsid w:val="00FF5D66"/>
    <w:rsid w:val="00FF5E16"/>
    <w:rsid w:val="00FF6250"/>
    <w:rsid w:val="00FF6E75"/>
    <w:rsid w:val="00FF7105"/>
    <w:rsid w:val="00FF75F3"/>
    <w:rsid w:val="00FF78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E3"/>
    <w:pPr>
      <w:autoSpaceDE w:val="0"/>
      <w:autoSpaceDN w:val="0"/>
      <w:adjustRightInd w:val="0"/>
      <w:spacing w:after="0" w:line="36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7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F0"/>
    <w:rPr>
      <w:rFonts w:ascii="Tahoma" w:hAnsi="Tahoma" w:cs="Tahoma"/>
      <w:sz w:val="16"/>
      <w:szCs w:val="16"/>
    </w:rPr>
  </w:style>
  <w:style w:type="paragraph" w:styleId="ListParagraph">
    <w:name w:val="List Paragraph"/>
    <w:basedOn w:val="Normal"/>
    <w:uiPriority w:val="34"/>
    <w:qFormat/>
    <w:rsid w:val="003A46BA"/>
    <w:pPr>
      <w:ind w:left="720"/>
      <w:contextualSpacing/>
    </w:pPr>
    <w:rPr>
      <w:rFonts w:ascii="Calibri" w:eastAsia="Calibri" w:hAnsi="Calibri" w:cs="Times New Roman"/>
      <w:lang w:eastAsia="en-US"/>
    </w:rPr>
  </w:style>
  <w:style w:type="paragraph" w:styleId="NoSpacing">
    <w:name w:val="No Spacing"/>
    <w:link w:val="NoSpacingChar"/>
    <w:uiPriority w:val="1"/>
    <w:qFormat/>
    <w:rsid w:val="003179B5"/>
    <w:pPr>
      <w:spacing w:after="0" w:line="240" w:lineRule="auto"/>
    </w:pPr>
  </w:style>
  <w:style w:type="table" w:styleId="TableGrid">
    <w:name w:val="Table Grid"/>
    <w:basedOn w:val="TableNormal"/>
    <w:uiPriority w:val="59"/>
    <w:rsid w:val="00E8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634"/>
    <w:rPr>
      <w:color w:val="0000FF" w:themeColor="hyperlink"/>
      <w:u w:val="single"/>
    </w:rPr>
  </w:style>
  <w:style w:type="character" w:styleId="Strong">
    <w:name w:val="Strong"/>
    <w:basedOn w:val="DefaultParagraphFont"/>
    <w:uiPriority w:val="22"/>
    <w:qFormat/>
    <w:rsid w:val="00E85634"/>
    <w:rPr>
      <w:b/>
      <w:bCs/>
    </w:rPr>
  </w:style>
  <w:style w:type="character" w:customStyle="1" w:styleId="medium-font">
    <w:name w:val="medium-font"/>
    <w:basedOn w:val="DefaultParagraphFont"/>
    <w:rsid w:val="00E85634"/>
  </w:style>
  <w:style w:type="character" w:styleId="HTMLCite">
    <w:name w:val="HTML Cite"/>
    <w:basedOn w:val="DefaultParagraphFont"/>
    <w:uiPriority w:val="99"/>
    <w:semiHidden/>
    <w:unhideWhenUsed/>
    <w:rsid w:val="00E85634"/>
    <w:rPr>
      <w:i/>
      <w:iCs/>
    </w:rPr>
  </w:style>
  <w:style w:type="character" w:customStyle="1" w:styleId="author">
    <w:name w:val="author"/>
    <w:basedOn w:val="DefaultParagraphFont"/>
    <w:rsid w:val="00E85634"/>
  </w:style>
  <w:style w:type="character" w:customStyle="1" w:styleId="journalname">
    <w:name w:val="journalname"/>
    <w:basedOn w:val="DefaultParagraphFont"/>
    <w:rsid w:val="00E85634"/>
  </w:style>
  <w:style w:type="character" w:customStyle="1" w:styleId="journalnumber">
    <w:name w:val="journalnumber"/>
    <w:basedOn w:val="DefaultParagraphFont"/>
    <w:rsid w:val="00E85634"/>
  </w:style>
  <w:style w:type="paragraph" w:styleId="NormalWeb">
    <w:name w:val="Normal (Web)"/>
    <w:basedOn w:val="Normal"/>
    <w:uiPriority w:val="99"/>
    <w:unhideWhenUsed/>
    <w:rsid w:val="004A5F30"/>
    <w:pPr>
      <w:autoSpaceDE/>
      <w:autoSpaceDN/>
      <w:adjustRightInd/>
      <w:spacing w:before="100" w:beforeAutospacing="1" w:after="100" w:afterAutospacing="1" w:line="240" w:lineRule="auto"/>
      <w:jc w:val="left"/>
    </w:pPr>
    <w:rPr>
      <w:rFonts w:eastAsia="Times New Roman" w:cs="Times New Roman"/>
    </w:rPr>
  </w:style>
  <w:style w:type="table" w:styleId="LightShading-Accent2">
    <w:name w:val="Light Shading Accent 2"/>
    <w:basedOn w:val="TableNormal"/>
    <w:uiPriority w:val="60"/>
    <w:rsid w:val="0026634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2663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26634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11">
    <w:name w:val="Light Grid - Accent 11"/>
    <w:basedOn w:val="TableNormal"/>
    <w:uiPriority w:val="62"/>
    <w:rsid w:val="002663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266346"/>
    <w:rPr>
      <w:i/>
      <w:iCs/>
    </w:rPr>
  </w:style>
  <w:style w:type="paragraph" w:styleId="Header">
    <w:name w:val="header"/>
    <w:basedOn w:val="Normal"/>
    <w:link w:val="HeaderChar"/>
    <w:uiPriority w:val="99"/>
    <w:unhideWhenUsed/>
    <w:rsid w:val="00DC57C6"/>
    <w:pPr>
      <w:tabs>
        <w:tab w:val="center" w:pos="4513"/>
        <w:tab w:val="right" w:pos="9026"/>
      </w:tabs>
      <w:spacing w:line="240" w:lineRule="auto"/>
    </w:pPr>
  </w:style>
  <w:style w:type="character" w:customStyle="1" w:styleId="HeaderChar">
    <w:name w:val="Header Char"/>
    <w:basedOn w:val="DefaultParagraphFont"/>
    <w:link w:val="Header"/>
    <w:uiPriority w:val="99"/>
    <w:rsid w:val="00DC57C6"/>
    <w:rPr>
      <w:rFonts w:ascii="Times New Roman" w:hAnsi="Times New Roman"/>
      <w:sz w:val="24"/>
      <w:szCs w:val="24"/>
    </w:rPr>
  </w:style>
  <w:style w:type="paragraph" w:styleId="Footer">
    <w:name w:val="footer"/>
    <w:basedOn w:val="Normal"/>
    <w:link w:val="FooterChar"/>
    <w:uiPriority w:val="99"/>
    <w:unhideWhenUsed/>
    <w:rsid w:val="00DC57C6"/>
    <w:pPr>
      <w:tabs>
        <w:tab w:val="center" w:pos="4513"/>
        <w:tab w:val="right" w:pos="9026"/>
      </w:tabs>
      <w:spacing w:line="240" w:lineRule="auto"/>
    </w:pPr>
  </w:style>
  <w:style w:type="character" w:customStyle="1" w:styleId="FooterChar">
    <w:name w:val="Footer Char"/>
    <w:basedOn w:val="DefaultParagraphFont"/>
    <w:link w:val="Footer"/>
    <w:uiPriority w:val="99"/>
    <w:rsid w:val="00DC57C6"/>
    <w:rPr>
      <w:rFonts w:ascii="Times New Roman" w:hAnsi="Times New Roman"/>
      <w:sz w:val="24"/>
      <w:szCs w:val="24"/>
    </w:rPr>
  </w:style>
  <w:style w:type="character" w:customStyle="1" w:styleId="NoSpacingChar">
    <w:name w:val="No Spacing Char"/>
    <w:basedOn w:val="DefaultParagraphFont"/>
    <w:link w:val="NoSpacing"/>
    <w:uiPriority w:val="1"/>
    <w:rsid w:val="00DC57C6"/>
  </w:style>
  <w:style w:type="character" w:styleId="PlaceholderText">
    <w:name w:val="Placeholder Text"/>
    <w:basedOn w:val="DefaultParagraphFont"/>
    <w:uiPriority w:val="99"/>
    <w:semiHidden/>
    <w:rsid w:val="00434BD2"/>
    <w:rPr>
      <w:color w:val="808080"/>
    </w:rPr>
  </w:style>
  <w:style w:type="character" w:customStyle="1" w:styleId="apple-converted-space">
    <w:name w:val="apple-converted-space"/>
    <w:basedOn w:val="DefaultParagraphFont"/>
    <w:rsid w:val="00DD548D"/>
  </w:style>
  <w:style w:type="character" w:styleId="FollowedHyperlink">
    <w:name w:val="FollowedHyperlink"/>
    <w:basedOn w:val="DefaultParagraphFont"/>
    <w:uiPriority w:val="99"/>
    <w:semiHidden/>
    <w:unhideWhenUsed/>
    <w:rsid w:val="00A07D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E3"/>
    <w:pPr>
      <w:autoSpaceDE w:val="0"/>
      <w:autoSpaceDN w:val="0"/>
      <w:adjustRightInd w:val="0"/>
      <w:spacing w:after="0" w:line="36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7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F0"/>
    <w:rPr>
      <w:rFonts w:ascii="Tahoma" w:hAnsi="Tahoma" w:cs="Tahoma"/>
      <w:sz w:val="16"/>
      <w:szCs w:val="16"/>
    </w:rPr>
  </w:style>
  <w:style w:type="paragraph" w:styleId="ListParagraph">
    <w:name w:val="List Paragraph"/>
    <w:basedOn w:val="Normal"/>
    <w:uiPriority w:val="34"/>
    <w:qFormat/>
    <w:rsid w:val="003A46BA"/>
    <w:pPr>
      <w:ind w:left="720"/>
      <w:contextualSpacing/>
    </w:pPr>
    <w:rPr>
      <w:rFonts w:ascii="Calibri" w:eastAsia="Calibri" w:hAnsi="Calibri" w:cs="Times New Roman"/>
      <w:lang w:eastAsia="en-US"/>
    </w:rPr>
  </w:style>
  <w:style w:type="paragraph" w:styleId="NoSpacing">
    <w:name w:val="No Spacing"/>
    <w:link w:val="NoSpacingChar"/>
    <w:uiPriority w:val="1"/>
    <w:qFormat/>
    <w:rsid w:val="003179B5"/>
    <w:pPr>
      <w:spacing w:after="0" w:line="240" w:lineRule="auto"/>
    </w:pPr>
  </w:style>
  <w:style w:type="table" w:styleId="TableGrid">
    <w:name w:val="Table Grid"/>
    <w:basedOn w:val="TableNormal"/>
    <w:uiPriority w:val="59"/>
    <w:rsid w:val="00E8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634"/>
    <w:rPr>
      <w:color w:val="0000FF" w:themeColor="hyperlink"/>
      <w:u w:val="single"/>
    </w:rPr>
  </w:style>
  <w:style w:type="character" w:styleId="Strong">
    <w:name w:val="Strong"/>
    <w:basedOn w:val="DefaultParagraphFont"/>
    <w:uiPriority w:val="22"/>
    <w:qFormat/>
    <w:rsid w:val="00E85634"/>
    <w:rPr>
      <w:b/>
      <w:bCs/>
    </w:rPr>
  </w:style>
  <w:style w:type="character" w:customStyle="1" w:styleId="medium-font">
    <w:name w:val="medium-font"/>
    <w:basedOn w:val="DefaultParagraphFont"/>
    <w:rsid w:val="00E85634"/>
  </w:style>
  <w:style w:type="character" w:styleId="HTMLCite">
    <w:name w:val="HTML Cite"/>
    <w:basedOn w:val="DefaultParagraphFont"/>
    <w:uiPriority w:val="99"/>
    <w:semiHidden/>
    <w:unhideWhenUsed/>
    <w:rsid w:val="00E85634"/>
    <w:rPr>
      <w:i/>
      <w:iCs/>
    </w:rPr>
  </w:style>
  <w:style w:type="character" w:customStyle="1" w:styleId="author">
    <w:name w:val="author"/>
    <w:basedOn w:val="DefaultParagraphFont"/>
    <w:rsid w:val="00E85634"/>
  </w:style>
  <w:style w:type="character" w:customStyle="1" w:styleId="journalname">
    <w:name w:val="journalname"/>
    <w:basedOn w:val="DefaultParagraphFont"/>
    <w:rsid w:val="00E85634"/>
  </w:style>
  <w:style w:type="character" w:customStyle="1" w:styleId="journalnumber">
    <w:name w:val="journalnumber"/>
    <w:basedOn w:val="DefaultParagraphFont"/>
    <w:rsid w:val="00E85634"/>
  </w:style>
  <w:style w:type="paragraph" w:styleId="NormalWeb">
    <w:name w:val="Normal (Web)"/>
    <w:basedOn w:val="Normal"/>
    <w:uiPriority w:val="99"/>
    <w:unhideWhenUsed/>
    <w:rsid w:val="004A5F30"/>
    <w:pPr>
      <w:autoSpaceDE/>
      <w:autoSpaceDN/>
      <w:adjustRightInd/>
      <w:spacing w:before="100" w:beforeAutospacing="1" w:after="100" w:afterAutospacing="1" w:line="240" w:lineRule="auto"/>
      <w:jc w:val="left"/>
    </w:pPr>
    <w:rPr>
      <w:rFonts w:eastAsia="Times New Roman" w:cs="Times New Roman"/>
    </w:rPr>
  </w:style>
  <w:style w:type="table" w:styleId="LightShading-Accent2">
    <w:name w:val="Light Shading Accent 2"/>
    <w:basedOn w:val="TableNormal"/>
    <w:uiPriority w:val="60"/>
    <w:rsid w:val="0026634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2663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26634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11">
    <w:name w:val="Light Grid - Accent 11"/>
    <w:basedOn w:val="TableNormal"/>
    <w:uiPriority w:val="62"/>
    <w:rsid w:val="002663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266346"/>
    <w:rPr>
      <w:i/>
      <w:iCs/>
    </w:rPr>
  </w:style>
  <w:style w:type="paragraph" w:styleId="Header">
    <w:name w:val="header"/>
    <w:basedOn w:val="Normal"/>
    <w:link w:val="HeaderChar"/>
    <w:uiPriority w:val="99"/>
    <w:unhideWhenUsed/>
    <w:rsid w:val="00DC57C6"/>
    <w:pPr>
      <w:tabs>
        <w:tab w:val="center" w:pos="4513"/>
        <w:tab w:val="right" w:pos="9026"/>
      </w:tabs>
      <w:spacing w:line="240" w:lineRule="auto"/>
    </w:pPr>
  </w:style>
  <w:style w:type="character" w:customStyle="1" w:styleId="HeaderChar">
    <w:name w:val="Header Char"/>
    <w:basedOn w:val="DefaultParagraphFont"/>
    <w:link w:val="Header"/>
    <w:uiPriority w:val="99"/>
    <w:rsid w:val="00DC57C6"/>
    <w:rPr>
      <w:rFonts w:ascii="Times New Roman" w:hAnsi="Times New Roman"/>
      <w:sz w:val="24"/>
      <w:szCs w:val="24"/>
    </w:rPr>
  </w:style>
  <w:style w:type="paragraph" w:styleId="Footer">
    <w:name w:val="footer"/>
    <w:basedOn w:val="Normal"/>
    <w:link w:val="FooterChar"/>
    <w:uiPriority w:val="99"/>
    <w:unhideWhenUsed/>
    <w:rsid w:val="00DC57C6"/>
    <w:pPr>
      <w:tabs>
        <w:tab w:val="center" w:pos="4513"/>
        <w:tab w:val="right" w:pos="9026"/>
      </w:tabs>
      <w:spacing w:line="240" w:lineRule="auto"/>
    </w:pPr>
  </w:style>
  <w:style w:type="character" w:customStyle="1" w:styleId="FooterChar">
    <w:name w:val="Footer Char"/>
    <w:basedOn w:val="DefaultParagraphFont"/>
    <w:link w:val="Footer"/>
    <w:uiPriority w:val="99"/>
    <w:rsid w:val="00DC57C6"/>
    <w:rPr>
      <w:rFonts w:ascii="Times New Roman" w:hAnsi="Times New Roman"/>
      <w:sz w:val="24"/>
      <w:szCs w:val="24"/>
    </w:rPr>
  </w:style>
  <w:style w:type="character" w:customStyle="1" w:styleId="NoSpacingChar">
    <w:name w:val="No Spacing Char"/>
    <w:basedOn w:val="DefaultParagraphFont"/>
    <w:link w:val="NoSpacing"/>
    <w:uiPriority w:val="1"/>
    <w:rsid w:val="00DC57C6"/>
  </w:style>
  <w:style w:type="character" w:styleId="PlaceholderText">
    <w:name w:val="Placeholder Text"/>
    <w:basedOn w:val="DefaultParagraphFont"/>
    <w:uiPriority w:val="99"/>
    <w:semiHidden/>
    <w:rsid w:val="00434BD2"/>
    <w:rPr>
      <w:color w:val="808080"/>
    </w:rPr>
  </w:style>
  <w:style w:type="character" w:customStyle="1" w:styleId="apple-converted-space">
    <w:name w:val="apple-converted-space"/>
    <w:basedOn w:val="DefaultParagraphFont"/>
    <w:rsid w:val="00DD548D"/>
  </w:style>
  <w:style w:type="character" w:styleId="FollowedHyperlink">
    <w:name w:val="FollowedHyperlink"/>
    <w:basedOn w:val="DefaultParagraphFont"/>
    <w:uiPriority w:val="99"/>
    <w:semiHidden/>
    <w:unhideWhenUsed/>
    <w:rsid w:val="00A07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5284">
      <w:bodyDiv w:val="1"/>
      <w:marLeft w:val="0"/>
      <w:marRight w:val="0"/>
      <w:marTop w:val="0"/>
      <w:marBottom w:val="0"/>
      <w:divBdr>
        <w:top w:val="none" w:sz="0" w:space="0" w:color="auto"/>
        <w:left w:val="none" w:sz="0" w:space="0" w:color="auto"/>
        <w:bottom w:val="none" w:sz="0" w:space="0" w:color="auto"/>
        <w:right w:val="none" w:sz="0" w:space="0" w:color="auto"/>
      </w:divBdr>
      <w:divsChild>
        <w:div w:id="143012673">
          <w:marLeft w:val="0"/>
          <w:marRight w:val="0"/>
          <w:marTop w:val="0"/>
          <w:marBottom w:val="0"/>
          <w:divBdr>
            <w:top w:val="none" w:sz="0" w:space="0" w:color="auto"/>
            <w:left w:val="none" w:sz="0" w:space="0" w:color="auto"/>
            <w:bottom w:val="none" w:sz="0" w:space="0" w:color="auto"/>
            <w:right w:val="none" w:sz="0" w:space="0" w:color="auto"/>
          </w:divBdr>
        </w:div>
        <w:div w:id="565455885">
          <w:marLeft w:val="0"/>
          <w:marRight w:val="0"/>
          <w:marTop w:val="0"/>
          <w:marBottom w:val="0"/>
          <w:divBdr>
            <w:top w:val="none" w:sz="0" w:space="0" w:color="auto"/>
            <w:left w:val="none" w:sz="0" w:space="0" w:color="auto"/>
            <w:bottom w:val="none" w:sz="0" w:space="0" w:color="auto"/>
            <w:right w:val="none" w:sz="0" w:space="0" w:color="auto"/>
          </w:divBdr>
        </w:div>
        <w:div w:id="1842036978">
          <w:marLeft w:val="0"/>
          <w:marRight w:val="0"/>
          <w:marTop w:val="0"/>
          <w:marBottom w:val="0"/>
          <w:divBdr>
            <w:top w:val="none" w:sz="0" w:space="0" w:color="auto"/>
            <w:left w:val="none" w:sz="0" w:space="0" w:color="auto"/>
            <w:bottom w:val="none" w:sz="0" w:space="0" w:color="auto"/>
            <w:right w:val="none" w:sz="0" w:space="0" w:color="auto"/>
          </w:divBdr>
        </w:div>
      </w:divsChild>
    </w:div>
    <w:div w:id="166755968">
      <w:bodyDiv w:val="1"/>
      <w:marLeft w:val="0"/>
      <w:marRight w:val="0"/>
      <w:marTop w:val="0"/>
      <w:marBottom w:val="0"/>
      <w:divBdr>
        <w:top w:val="none" w:sz="0" w:space="0" w:color="auto"/>
        <w:left w:val="none" w:sz="0" w:space="0" w:color="auto"/>
        <w:bottom w:val="none" w:sz="0" w:space="0" w:color="auto"/>
        <w:right w:val="none" w:sz="0" w:space="0" w:color="auto"/>
      </w:divBdr>
      <w:divsChild>
        <w:div w:id="212664393">
          <w:marLeft w:val="0"/>
          <w:marRight w:val="0"/>
          <w:marTop w:val="0"/>
          <w:marBottom w:val="0"/>
          <w:divBdr>
            <w:top w:val="none" w:sz="0" w:space="0" w:color="auto"/>
            <w:left w:val="none" w:sz="0" w:space="0" w:color="auto"/>
            <w:bottom w:val="none" w:sz="0" w:space="0" w:color="auto"/>
            <w:right w:val="none" w:sz="0" w:space="0" w:color="auto"/>
          </w:divBdr>
        </w:div>
        <w:div w:id="648360078">
          <w:marLeft w:val="0"/>
          <w:marRight w:val="0"/>
          <w:marTop w:val="0"/>
          <w:marBottom w:val="0"/>
          <w:divBdr>
            <w:top w:val="none" w:sz="0" w:space="0" w:color="auto"/>
            <w:left w:val="none" w:sz="0" w:space="0" w:color="auto"/>
            <w:bottom w:val="none" w:sz="0" w:space="0" w:color="auto"/>
            <w:right w:val="none" w:sz="0" w:space="0" w:color="auto"/>
          </w:divBdr>
        </w:div>
        <w:div w:id="824202556">
          <w:marLeft w:val="0"/>
          <w:marRight w:val="0"/>
          <w:marTop w:val="0"/>
          <w:marBottom w:val="0"/>
          <w:divBdr>
            <w:top w:val="none" w:sz="0" w:space="0" w:color="auto"/>
            <w:left w:val="none" w:sz="0" w:space="0" w:color="auto"/>
            <w:bottom w:val="none" w:sz="0" w:space="0" w:color="auto"/>
            <w:right w:val="none" w:sz="0" w:space="0" w:color="auto"/>
          </w:divBdr>
        </w:div>
        <w:div w:id="1017005530">
          <w:marLeft w:val="0"/>
          <w:marRight w:val="0"/>
          <w:marTop w:val="0"/>
          <w:marBottom w:val="0"/>
          <w:divBdr>
            <w:top w:val="none" w:sz="0" w:space="0" w:color="auto"/>
            <w:left w:val="none" w:sz="0" w:space="0" w:color="auto"/>
            <w:bottom w:val="none" w:sz="0" w:space="0" w:color="auto"/>
            <w:right w:val="none" w:sz="0" w:space="0" w:color="auto"/>
          </w:divBdr>
        </w:div>
        <w:div w:id="1169490753">
          <w:marLeft w:val="0"/>
          <w:marRight w:val="0"/>
          <w:marTop w:val="0"/>
          <w:marBottom w:val="0"/>
          <w:divBdr>
            <w:top w:val="none" w:sz="0" w:space="0" w:color="auto"/>
            <w:left w:val="none" w:sz="0" w:space="0" w:color="auto"/>
            <w:bottom w:val="none" w:sz="0" w:space="0" w:color="auto"/>
            <w:right w:val="none" w:sz="0" w:space="0" w:color="auto"/>
          </w:divBdr>
        </w:div>
        <w:div w:id="1202858062">
          <w:marLeft w:val="0"/>
          <w:marRight w:val="0"/>
          <w:marTop w:val="0"/>
          <w:marBottom w:val="0"/>
          <w:divBdr>
            <w:top w:val="none" w:sz="0" w:space="0" w:color="auto"/>
            <w:left w:val="none" w:sz="0" w:space="0" w:color="auto"/>
            <w:bottom w:val="none" w:sz="0" w:space="0" w:color="auto"/>
            <w:right w:val="none" w:sz="0" w:space="0" w:color="auto"/>
          </w:divBdr>
        </w:div>
        <w:div w:id="1262840607">
          <w:marLeft w:val="0"/>
          <w:marRight w:val="0"/>
          <w:marTop w:val="0"/>
          <w:marBottom w:val="0"/>
          <w:divBdr>
            <w:top w:val="none" w:sz="0" w:space="0" w:color="auto"/>
            <w:left w:val="none" w:sz="0" w:space="0" w:color="auto"/>
            <w:bottom w:val="none" w:sz="0" w:space="0" w:color="auto"/>
            <w:right w:val="none" w:sz="0" w:space="0" w:color="auto"/>
          </w:divBdr>
        </w:div>
        <w:div w:id="1263955611">
          <w:marLeft w:val="0"/>
          <w:marRight w:val="0"/>
          <w:marTop w:val="0"/>
          <w:marBottom w:val="0"/>
          <w:divBdr>
            <w:top w:val="none" w:sz="0" w:space="0" w:color="auto"/>
            <w:left w:val="none" w:sz="0" w:space="0" w:color="auto"/>
            <w:bottom w:val="none" w:sz="0" w:space="0" w:color="auto"/>
            <w:right w:val="none" w:sz="0" w:space="0" w:color="auto"/>
          </w:divBdr>
        </w:div>
        <w:div w:id="1399018230">
          <w:marLeft w:val="0"/>
          <w:marRight w:val="0"/>
          <w:marTop w:val="0"/>
          <w:marBottom w:val="0"/>
          <w:divBdr>
            <w:top w:val="none" w:sz="0" w:space="0" w:color="auto"/>
            <w:left w:val="none" w:sz="0" w:space="0" w:color="auto"/>
            <w:bottom w:val="none" w:sz="0" w:space="0" w:color="auto"/>
            <w:right w:val="none" w:sz="0" w:space="0" w:color="auto"/>
          </w:divBdr>
        </w:div>
        <w:div w:id="1475826989">
          <w:marLeft w:val="0"/>
          <w:marRight w:val="0"/>
          <w:marTop w:val="0"/>
          <w:marBottom w:val="0"/>
          <w:divBdr>
            <w:top w:val="none" w:sz="0" w:space="0" w:color="auto"/>
            <w:left w:val="none" w:sz="0" w:space="0" w:color="auto"/>
            <w:bottom w:val="none" w:sz="0" w:space="0" w:color="auto"/>
            <w:right w:val="none" w:sz="0" w:space="0" w:color="auto"/>
          </w:divBdr>
        </w:div>
        <w:div w:id="1529490838">
          <w:marLeft w:val="0"/>
          <w:marRight w:val="0"/>
          <w:marTop w:val="0"/>
          <w:marBottom w:val="0"/>
          <w:divBdr>
            <w:top w:val="none" w:sz="0" w:space="0" w:color="auto"/>
            <w:left w:val="none" w:sz="0" w:space="0" w:color="auto"/>
            <w:bottom w:val="none" w:sz="0" w:space="0" w:color="auto"/>
            <w:right w:val="none" w:sz="0" w:space="0" w:color="auto"/>
          </w:divBdr>
        </w:div>
        <w:div w:id="1543984472">
          <w:marLeft w:val="0"/>
          <w:marRight w:val="0"/>
          <w:marTop w:val="0"/>
          <w:marBottom w:val="0"/>
          <w:divBdr>
            <w:top w:val="none" w:sz="0" w:space="0" w:color="auto"/>
            <w:left w:val="none" w:sz="0" w:space="0" w:color="auto"/>
            <w:bottom w:val="none" w:sz="0" w:space="0" w:color="auto"/>
            <w:right w:val="none" w:sz="0" w:space="0" w:color="auto"/>
          </w:divBdr>
        </w:div>
        <w:div w:id="1551334531">
          <w:marLeft w:val="0"/>
          <w:marRight w:val="0"/>
          <w:marTop w:val="0"/>
          <w:marBottom w:val="0"/>
          <w:divBdr>
            <w:top w:val="none" w:sz="0" w:space="0" w:color="auto"/>
            <w:left w:val="none" w:sz="0" w:space="0" w:color="auto"/>
            <w:bottom w:val="none" w:sz="0" w:space="0" w:color="auto"/>
            <w:right w:val="none" w:sz="0" w:space="0" w:color="auto"/>
          </w:divBdr>
        </w:div>
        <w:div w:id="1637177404">
          <w:marLeft w:val="0"/>
          <w:marRight w:val="0"/>
          <w:marTop w:val="0"/>
          <w:marBottom w:val="0"/>
          <w:divBdr>
            <w:top w:val="none" w:sz="0" w:space="0" w:color="auto"/>
            <w:left w:val="none" w:sz="0" w:space="0" w:color="auto"/>
            <w:bottom w:val="none" w:sz="0" w:space="0" w:color="auto"/>
            <w:right w:val="none" w:sz="0" w:space="0" w:color="auto"/>
          </w:divBdr>
        </w:div>
        <w:div w:id="1683555191">
          <w:marLeft w:val="0"/>
          <w:marRight w:val="0"/>
          <w:marTop w:val="0"/>
          <w:marBottom w:val="0"/>
          <w:divBdr>
            <w:top w:val="none" w:sz="0" w:space="0" w:color="auto"/>
            <w:left w:val="none" w:sz="0" w:space="0" w:color="auto"/>
            <w:bottom w:val="none" w:sz="0" w:space="0" w:color="auto"/>
            <w:right w:val="none" w:sz="0" w:space="0" w:color="auto"/>
          </w:divBdr>
        </w:div>
        <w:div w:id="1938825637">
          <w:marLeft w:val="0"/>
          <w:marRight w:val="0"/>
          <w:marTop w:val="0"/>
          <w:marBottom w:val="0"/>
          <w:divBdr>
            <w:top w:val="none" w:sz="0" w:space="0" w:color="auto"/>
            <w:left w:val="none" w:sz="0" w:space="0" w:color="auto"/>
            <w:bottom w:val="none" w:sz="0" w:space="0" w:color="auto"/>
            <w:right w:val="none" w:sz="0" w:space="0" w:color="auto"/>
          </w:divBdr>
        </w:div>
        <w:div w:id="2046371291">
          <w:marLeft w:val="0"/>
          <w:marRight w:val="0"/>
          <w:marTop w:val="0"/>
          <w:marBottom w:val="0"/>
          <w:divBdr>
            <w:top w:val="none" w:sz="0" w:space="0" w:color="auto"/>
            <w:left w:val="none" w:sz="0" w:space="0" w:color="auto"/>
            <w:bottom w:val="none" w:sz="0" w:space="0" w:color="auto"/>
            <w:right w:val="none" w:sz="0" w:space="0" w:color="auto"/>
          </w:divBdr>
        </w:div>
        <w:div w:id="2124878668">
          <w:marLeft w:val="0"/>
          <w:marRight w:val="0"/>
          <w:marTop w:val="0"/>
          <w:marBottom w:val="0"/>
          <w:divBdr>
            <w:top w:val="none" w:sz="0" w:space="0" w:color="auto"/>
            <w:left w:val="none" w:sz="0" w:space="0" w:color="auto"/>
            <w:bottom w:val="none" w:sz="0" w:space="0" w:color="auto"/>
            <w:right w:val="none" w:sz="0" w:space="0" w:color="auto"/>
          </w:divBdr>
        </w:div>
      </w:divsChild>
    </w:div>
    <w:div w:id="196312453">
      <w:bodyDiv w:val="1"/>
      <w:marLeft w:val="0"/>
      <w:marRight w:val="0"/>
      <w:marTop w:val="0"/>
      <w:marBottom w:val="0"/>
      <w:divBdr>
        <w:top w:val="none" w:sz="0" w:space="0" w:color="auto"/>
        <w:left w:val="none" w:sz="0" w:space="0" w:color="auto"/>
        <w:bottom w:val="none" w:sz="0" w:space="0" w:color="auto"/>
        <w:right w:val="none" w:sz="0" w:space="0" w:color="auto"/>
      </w:divBdr>
      <w:divsChild>
        <w:div w:id="116264946">
          <w:marLeft w:val="0"/>
          <w:marRight w:val="0"/>
          <w:marTop w:val="0"/>
          <w:marBottom w:val="0"/>
          <w:divBdr>
            <w:top w:val="none" w:sz="0" w:space="0" w:color="auto"/>
            <w:left w:val="none" w:sz="0" w:space="0" w:color="auto"/>
            <w:bottom w:val="none" w:sz="0" w:space="0" w:color="auto"/>
            <w:right w:val="none" w:sz="0" w:space="0" w:color="auto"/>
          </w:divBdr>
        </w:div>
        <w:div w:id="162475657">
          <w:marLeft w:val="0"/>
          <w:marRight w:val="0"/>
          <w:marTop w:val="0"/>
          <w:marBottom w:val="0"/>
          <w:divBdr>
            <w:top w:val="none" w:sz="0" w:space="0" w:color="auto"/>
            <w:left w:val="none" w:sz="0" w:space="0" w:color="auto"/>
            <w:bottom w:val="none" w:sz="0" w:space="0" w:color="auto"/>
            <w:right w:val="none" w:sz="0" w:space="0" w:color="auto"/>
          </w:divBdr>
        </w:div>
        <w:div w:id="172303367">
          <w:marLeft w:val="0"/>
          <w:marRight w:val="0"/>
          <w:marTop w:val="0"/>
          <w:marBottom w:val="0"/>
          <w:divBdr>
            <w:top w:val="none" w:sz="0" w:space="0" w:color="auto"/>
            <w:left w:val="none" w:sz="0" w:space="0" w:color="auto"/>
            <w:bottom w:val="none" w:sz="0" w:space="0" w:color="auto"/>
            <w:right w:val="none" w:sz="0" w:space="0" w:color="auto"/>
          </w:divBdr>
        </w:div>
        <w:div w:id="194393745">
          <w:marLeft w:val="0"/>
          <w:marRight w:val="0"/>
          <w:marTop w:val="0"/>
          <w:marBottom w:val="0"/>
          <w:divBdr>
            <w:top w:val="none" w:sz="0" w:space="0" w:color="auto"/>
            <w:left w:val="none" w:sz="0" w:space="0" w:color="auto"/>
            <w:bottom w:val="none" w:sz="0" w:space="0" w:color="auto"/>
            <w:right w:val="none" w:sz="0" w:space="0" w:color="auto"/>
          </w:divBdr>
        </w:div>
        <w:div w:id="390925239">
          <w:marLeft w:val="0"/>
          <w:marRight w:val="0"/>
          <w:marTop w:val="0"/>
          <w:marBottom w:val="0"/>
          <w:divBdr>
            <w:top w:val="none" w:sz="0" w:space="0" w:color="auto"/>
            <w:left w:val="none" w:sz="0" w:space="0" w:color="auto"/>
            <w:bottom w:val="none" w:sz="0" w:space="0" w:color="auto"/>
            <w:right w:val="none" w:sz="0" w:space="0" w:color="auto"/>
          </w:divBdr>
        </w:div>
        <w:div w:id="421805463">
          <w:marLeft w:val="0"/>
          <w:marRight w:val="0"/>
          <w:marTop w:val="0"/>
          <w:marBottom w:val="0"/>
          <w:divBdr>
            <w:top w:val="none" w:sz="0" w:space="0" w:color="auto"/>
            <w:left w:val="none" w:sz="0" w:space="0" w:color="auto"/>
            <w:bottom w:val="none" w:sz="0" w:space="0" w:color="auto"/>
            <w:right w:val="none" w:sz="0" w:space="0" w:color="auto"/>
          </w:divBdr>
        </w:div>
        <w:div w:id="541017970">
          <w:marLeft w:val="0"/>
          <w:marRight w:val="0"/>
          <w:marTop w:val="0"/>
          <w:marBottom w:val="0"/>
          <w:divBdr>
            <w:top w:val="none" w:sz="0" w:space="0" w:color="auto"/>
            <w:left w:val="none" w:sz="0" w:space="0" w:color="auto"/>
            <w:bottom w:val="none" w:sz="0" w:space="0" w:color="auto"/>
            <w:right w:val="none" w:sz="0" w:space="0" w:color="auto"/>
          </w:divBdr>
        </w:div>
        <w:div w:id="560989750">
          <w:marLeft w:val="0"/>
          <w:marRight w:val="0"/>
          <w:marTop w:val="0"/>
          <w:marBottom w:val="0"/>
          <w:divBdr>
            <w:top w:val="none" w:sz="0" w:space="0" w:color="auto"/>
            <w:left w:val="none" w:sz="0" w:space="0" w:color="auto"/>
            <w:bottom w:val="none" w:sz="0" w:space="0" w:color="auto"/>
            <w:right w:val="none" w:sz="0" w:space="0" w:color="auto"/>
          </w:divBdr>
        </w:div>
        <w:div w:id="619990479">
          <w:marLeft w:val="0"/>
          <w:marRight w:val="0"/>
          <w:marTop w:val="0"/>
          <w:marBottom w:val="0"/>
          <w:divBdr>
            <w:top w:val="none" w:sz="0" w:space="0" w:color="auto"/>
            <w:left w:val="none" w:sz="0" w:space="0" w:color="auto"/>
            <w:bottom w:val="none" w:sz="0" w:space="0" w:color="auto"/>
            <w:right w:val="none" w:sz="0" w:space="0" w:color="auto"/>
          </w:divBdr>
        </w:div>
        <w:div w:id="771823877">
          <w:marLeft w:val="0"/>
          <w:marRight w:val="0"/>
          <w:marTop w:val="0"/>
          <w:marBottom w:val="0"/>
          <w:divBdr>
            <w:top w:val="none" w:sz="0" w:space="0" w:color="auto"/>
            <w:left w:val="none" w:sz="0" w:space="0" w:color="auto"/>
            <w:bottom w:val="none" w:sz="0" w:space="0" w:color="auto"/>
            <w:right w:val="none" w:sz="0" w:space="0" w:color="auto"/>
          </w:divBdr>
        </w:div>
        <w:div w:id="835918941">
          <w:marLeft w:val="0"/>
          <w:marRight w:val="0"/>
          <w:marTop w:val="0"/>
          <w:marBottom w:val="0"/>
          <w:divBdr>
            <w:top w:val="none" w:sz="0" w:space="0" w:color="auto"/>
            <w:left w:val="none" w:sz="0" w:space="0" w:color="auto"/>
            <w:bottom w:val="none" w:sz="0" w:space="0" w:color="auto"/>
            <w:right w:val="none" w:sz="0" w:space="0" w:color="auto"/>
          </w:divBdr>
        </w:div>
        <w:div w:id="864827997">
          <w:marLeft w:val="0"/>
          <w:marRight w:val="0"/>
          <w:marTop w:val="0"/>
          <w:marBottom w:val="0"/>
          <w:divBdr>
            <w:top w:val="none" w:sz="0" w:space="0" w:color="auto"/>
            <w:left w:val="none" w:sz="0" w:space="0" w:color="auto"/>
            <w:bottom w:val="none" w:sz="0" w:space="0" w:color="auto"/>
            <w:right w:val="none" w:sz="0" w:space="0" w:color="auto"/>
          </w:divBdr>
        </w:div>
        <w:div w:id="1057125677">
          <w:marLeft w:val="0"/>
          <w:marRight w:val="0"/>
          <w:marTop w:val="0"/>
          <w:marBottom w:val="0"/>
          <w:divBdr>
            <w:top w:val="none" w:sz="0" w:space="0" w:color="auto"/>
            <w:left w:val="none" w:sz="0" w:space="0" w:color="auto"/>
            <w:bottom w:val="none" w:sz="0" w:space="0" w:color="auto"/>
            <w:right w:val="none" w:sz="0" w:space="0" w:color="auto"/>
          </w:divBdr>
        </w:div>
        <w:div w:id="1082483013">
          <w:marLeft w:val="0"/>
          <w:marRight w:val="0"/>
          <w:marTop w:val="0"/>
          <w:marBottom w:val="0"/>
          <w:divBdr>
            <w:top w:val="none" w:sz="0" w:space="0" w:color="auto"/>
            <w:left w:val="none" w:sz="0" w:space="0" w:color="auto"/>
            <w:bottom w:val="none" w:sz="0" w:space="0" w:color="auto"/>
            <w:right w:val="none" w:sz="0" w:space="0" w:color="auto"/>
          </w:divBdr>
        </w:div>
        <w:div w:id="1123040730">
          <w:marLeft w:val="0"/>
          <w:marRight w:val="0"/>
          <w:marTop w:val="0"/>
          <w:marBottom w:val="0"/>
          <w:divBdr>
            <w:top w:val="none" w:sz="0" w:space="0" w:color="auto"/>
            <w:left w:val="none" w:sz="0" w:space="0" w:color="auto"/>
            <w:bottom w:val="none" w:sz="0" w:space="0" w:color="auto"/>
            <w:right w:val="none" w:sz="0" w:space="0" w:color="auto"/>
          </w:divBdr>
        </w:div>
        <w:div w:id="1202323590">
          <w:marLeft w:val="0"/>
          <w:marRight w:val="0"/>
          <w:marTop w:val="0"/>
          <w:marBottom w:val="0"/>
          <w:divBdr>
            <w:top w:val="none" w:sz="0" w:space="0" w:color="auto"/>
            <w:left w:val="none" w:sz="0" w:space="0" w:color="auto"/>
            <w:bottom w:val="none" w:sz="0" w:space="0" w:color="auto"/>
            <w:right w:val="none" w:sz="0" w:space="0" w:color="auto"/>
          </w:divBdr>
        </w:div>
        <w:div w:id="1285191237">
          <w:marLeft w:val="0"/>
          <w:marRight w:val="0"/>
          <w:marTop w:val="0"/>
          <w:marBottom w:val="0"/>
          <w:divBdr>
            <w:top w:val="none" w:sz="0" w:space="0" w:color="auto"/>
            <w:left w:val="none" w:sz="0" w:space="0" w:color="auto"/>
            <w:bottom w:val="none" w:sz="0" w:space="0" w:color="auto"/>
            <w:right w:val="none" w:sz="0" w:space="0" w:color="auto"/>
          </w:divBdr>
        </w:div>
        <w:div w:id="1396124824">
          <w:marLeft w:val="0"/>
          <w:marRight w:val="0"/>
          <w:marTop w:val="0"/>
          <w:marBottom w:val="0"/>
          <w:divBdr>
            <w:top w:val="none" w:sz="0" w:space="0" w:color="auto"/>
            <w:left w:val="none" w:sz="0" w:space="0" w:color="auto"/>
            <w:bottom w:val="none" w:sz="0" w:space="0" w:color="auto"/>
            <w:right w:val="none" w:sz="0" w:space="0" w:color="auto"/>
          </w:divBdr>
        </w:div>
        <w:div w:id="1411582400">
          <w:marLeft w:val="0"/>
          <w:marRight w:val="0"/>
          <w:marTop w:val="0"/>
          <w:marBottom w:val="0"/>
          <w:divBdr>
            <w:top w:val="none" w:sz="0" w:space="0" w:color="auto"/>
            <w:left w:val="none" w:sz="0" w:space="0" w:color="auto"/>
            <w:bottom w:val="none" w:sz="0" w:space="0" w:color="auto"/>
            <w:right w:val="none" w:sz="0" w:space="0" w:color="auto"/>
          </w:divBdr>
        </w:div>
        <w:div w:id="1475025252">
          <w:marLeft w:val="0"/>
          <w:marRight w:val="0"/>
          <w:marTop w:val="0"/>
          <w:marBottom w:val="0"/>
          <w:divBdr>
            <w:top w:val="none" w:sz="0" w:space="0" w:color="auto"/>
            <w:left w:val="none" w:sz="0" w:space="0" w:color="auto"/>
            <w:bottom w:val="none" w:sz="0" w:space="0" w:color="auto"/>
            <w:right w:val="none" w:sz="0" w:space="0" w:color="auto"/>
          </w:divBdr>
        </w:div>
        <w:div w:id="1534073114">
          <w:marLeft w:val="0"/>
          <w:marRight w:val="0"/>
          <w:marTop w:val="0"/>
          <w:marBottom w:val="0"/>
          <w:divBdr>
            <w:top w:val="none" w:sz="0" w:space="0" w:color="auto"/>
            <w:left w:val="none" w:sz="0" w:space="0" w:color="auto"/>
            <w:bottom w:val="none" w:sz="0" w:space="0" w:color="auto"/>
            <w:right w:val="none" w:sz="0" w:space="0" w:color="auto"/>
          </w:divBdr>
        </w:div>
        <w:div w:id="1558281918">
          <w:marLeft w:val="0"/>
          <w:marRight w:val="0"/>
          <w:marTop w:val="0"/>
          <w:marBottom w:val="0"/>
          <w:divBdr>
            <w:top w:val="none" w:sz="0" w:space="0" w:color="auto"/>
            <w:left w:val="none" w:sz="0" w:space="0" w:color="auto"/>
            <w:bottom w:val="none" w:sz="0" w:space="0" w:color="auto"/>
            <w:right w:val="none" w:sz="0" w:space="0" w:color="auto"/>
          </w:divBdr>
        </w:div>
        <w:div w:id="1564678003">
          <w:marLeft w:val="0"/>
          <w:marRight w:val="0"/>
          <w:marTop w:val="0"/>
          <w:marBottom w:val="0"/>
          <w:divBdr>
            <w:top w:val="none" w:sz="0" w:space="0" w:color="auto"/>
            <w:left w:val="none" w:sz="0" w:space="0" w:color="auto"/>
            <w:bottom w:val="none" w:sz="0" w:space="0" w:color="auto"/>
            <w:right w:val="none" w:sz="0" w:space="0" w:color="auto"/>
          </w:divBdr>
        </w:div>
        <w:div w:id="1811240183">
          <w:marLeft w:val="0"/>
          <w:marRight w:val="0"/>
          <w:marTop w:val="0"/>
          <w:marBottom w:val="0"/>
          <w:divBdr>
            <w:top w:val="none" w:sz="0" w:space="0" w:color="auto"/>
            <w:left w:val="none" w:sz="0" w:space="0" w:color="auto"/>
            <w:bottom w:val="none" w:sz="0" w:space="0" w:color="auto"/>
            <w:right w:val="none" w:sz="0" w:space="0" w:color="auto"/>
          </w:divBdr>
        </w:div>
        <w:div w:id="1821581633">
          <w:marLeft w:val="0"/>
          <w:marRight w:val="0"/>
          <w:marTop w:val="0"/>
          <w:marBottom w:val="0"/>
          <w:divBdr>
            <w:top w:val="none" w:sz="0" w:space="0" w:color="auto"/>
            <w:left w:val="none" w:sz="0" w:space="0" w:color="auto"/>
            <w:bottom w:val="none" w:sz="0" w:space="0" w:color="auto"/>
            <w:right w:val="none" w:sz="0" w:space="0" w:color="auto"/>
          </w:divBdr>
        </w:div>
        <w:div w:id="1829133612">
          <w:marLeft w:val="0"/>
          <w:marRight w:val="0"/>
          <w:marTop w:val="0"/>
          <w:marBottom w:val="0"/>
          <w:divBdr>
            <w:top w:val="none" w:sz="0" w:space="0" w:color="auto"/>
            <w:left w:val="none" w:sz="0" w:space="0" w:color="auto"/>
            <w:bottom w:val="none" w:sz="0" w:space="0" w:color="auto"/>
            <w:right w:val="none" w:sz="0" w:space="0" w:color="auto"/>
          </w:divBdr>
        </w:div>
        <w:div w:id="1879388525">
          <w:marLeft w:val="0"/>
          <w:marRight w:val="0"/>
          <w:marTop w:val="0"/>
          <w:marBottom w:val="0"/>
          <w:divBdr>
            <w:top w:val="none" w:sz="0" w:space="0" w:color="auto"/>
            <w:left w:val="none" w:sz="0" w:space="0" w:color="auto"/>
            <w:bottom w:val="none" w:sz="0" w:space="0" w:color="auto"/>
            <w:right w:val="none" w:sz="0" w:space="0" w:color="auto"/>
          </w:divBdr>
        </w:div>
        <w:div w:id="1938292804">
          <w:marLeft w:val="0"/>
          <w:marRight w:val="0"/>
          <w:marTop w:val="0"/>
          <w:marBottom w:val="0"/>
          <w:divBdr>
            <w:top w:val="none" w:sz="0" w:space="0" w:color="auto"/>
            <w:left w:val="none" w:sz="0" w:space="0" w:color="auto"/>
            <w:bottom w:val="none" w:sz="0" w:space="0" w:color="auto"/>
            <w:right w:val="none" w:sz="0" w:space="0" w:color="auto"/>
          </w:divBdr>
        </w:div>
        <w:div w:id="1959070936">
          <w:marLeft w:val="0"/>
          <w:marRight w:val="0"/>
          <w:marTop w:val="0"/>
          <w:marBottom w:val="0"/>
          <w:divBdr>
            <w:top w:val="none" w:sz="0" w:space="0" w:color="auto"/>
            <w:left w:val="none" w:sz="0" w:space="0" w:color="auto"/>
            <w:bottom w:val="none" w:sz="0" w:space="0" w:color="auto"/>
            <w:right w:val="none" w:sz="0" w:space="0" w:color="auto"/>
          </w:divBdr>
        </w:div>
        <w:div w:id="2042509390">
          <w:marLeft w:val="0"/>
          <w:marRight w:val="0"/>
          <w:marTop w:val="0"/>
          <w:marBottom w:val="0"/>
          <w:divBdr>
            <w:top w:val="none" w:sz="0" w:space="0" w:color="auto"/>
            <w:left w:val="none" w:sz="0" w:space="0" w:color="auto"/>
            <w:bottom w:val="none" w:sz="0" w:space="0" w:color="auto"/>
            <w:right w:val="none" w:sz="0" w:space="0" w:color="auto"/>
          </w:divBdr>
        </w:div>
      </w:divsChild>
    </w:div>
    <w:div w:id="290863016">
      <w:bodyDiv w:val="1"/>
      <w:marLeft w:val="0"/>
      <w:marRight w:val="0"/>
      <w:marTop w:val="0"/>
      <w:marBottom w:val="0"/>
      <w:divBdr>
        <w:top w:val="none" w:sz="0" w:space="0" w:color="auto"/>
        <w:left w:val="none" w:sz="0" w:space="0" w:color="auto"/>
        <w:bottom w:val="none" w:sz="0" w:space="0" w:color="auto"/>
        <w:right w:val="none" w:sz="0" w:space="0" w:color="auto"/>
      </w:divBdr>
      <w:divsChild>
        <w:div w:id="1357659229">
          <w:marLeft w:val="0"/>
          <w:marRight w:val="0"/>
          <w:marTop w:val="0"/>
          <w:marBottom w:val="0"/>
          <w:divBdr>
            <w:top w:val="none" w:sz="0" w:space="0" w:color="auto"/>
            <w:left w:val="none" w:sz="0" w:space="0" w:color="auto"/>
            <w:bottom w:val="none" w:sz="0" w:space="0" w:color="auto"/>
            <w:right w:val="none" w:sz="0" w:space="0" w:color="auto"/>
          </w:divBdr>
        </w:div>
        <w:div w:id="1361280952">
          <w:marLeft w:val="0"/>
          <w:marRight w:val="0"/>
          <w:marTop w:val="0"/>
          <w:marBottom w:val="0"/>
          <w:divBdr>
            <w:top w:val="none" w:sz="0" w:space="0" w:color="auto"/>
            <w:left w:val="none" w:sz="0" w:space="0" w:color="auto"/>
            <w:bottom w:val="none" w:sz="0" w:space="0" w:color="auto"/>
            <w:right w:val="none" w:sz="0" w:space="0" w:color="auto"/>
          </w:divBdr>
        </w:div>
        <w:div w:id="1419059236">
          <w:marLeft w:val="0"/>
          <w:marRight w:val="0"/>
          <w:marTop w:val="0"/>
          <w:marBottom w:val="0"/>
          <w:divBdr>
            <w:top w:val="none" w:sz="0" w:space="0" w:color="auto"/>
            <w:left w:val="none" w:sz="0" w:space="0" w:color="auto"/>
            <w:bottom w:val="none" w:sz="0" w:space="0" w:color="auto"/>
            <w:right w:val="none" w:sz="0" w:space="0" w:color="auto"/>
          </w:divBdr>
        </w:div>
        <w:div w:id="1595282749">
          <w:marLeft w:val="0"/>
          <w:marRight w:val="0"/>
          <w:marTop w:val="0"/>
          <w:marBottom w:val="0"/>
          <w:divBdr>
            <w:top w:val="none" w:sz="0" w:space="0" w:color="auto"/>
            <w:left w:val="none" w:sz="0" w:space="0" w:color="auto"/>
            <w:bottom w:val="none" w:sz="0" w:space="0" w:color="auto"/>
            <w:right w:val="none" w:sz="0" w:space="0" w:color="auto"/>
          </w:divBdr>
        </w:div>
        <w:div w:id="1705523463">
          <w:marLeft w:val="0"/>
          <w:marRight w:val="0"/>
          <w:marTop w:val="0"/>
          <w:marBottom w:val="0"/>
          <w:divBdr>
            <w:top w:val="none" w:sz="0" w:space="0" w:color="auto"/>
            <w:left w:val="none" w:sz="0" w:space="0" w:color="auto"/>
            <w:bottom w:val="none" w:sz="0" w:space="0" w:color="auto"/>
            <w:right w:val="none" w:sz="0" w:space="0" w:color="auto"/>
          </w:divBdr>
        </w:div>
      </w:divsChild>
    </w:div>
    <w:div w:id="632905394">
      <w:bodyDiv w:val="1"/>
      <w:marLeft w:val="0"/>
      <w:marRight w:val="0"/>
      <w:marTop w:val="0"/>
      <w:marBottom w:val="0"/>
      <w:divBdr>
        <w:top w:val="none" w:sz="0" w:space="0" w:color="auto"/>
        <w:left w:val="none" w:sz="0" w:space="0" w:color="auto"/>
        <w:bottom w:val="none" w:sz="0" w:space="0" w:color="auto"/>
        <w:right w:val="none" w:sz="0" w:space="0" w:color="auto"/>
      </w:divBdr>
    </w:div>
    <w:div w:id="748960080">
      <w:bodyDiv w:val="1"/>
      <w:marLeft w:val="0"/>
      <w:marRight w:val="0"/>
      <w:marTop w:val="0"/>
      <w:marBottom w:val="0"/>
      <w:divBdr>
        <w:top w:val="none" w:sz="0" w:space="0" w:color="auto"/>
        <w:left w:val="none" w:sz="0" w:space="0" w:color="auto"/>
        <w:bottom w:val="none" w:sz="0" w:space="0" w:color="auto"/>
        <w:right w:val="none" w:sz="0" w:space="0" w:color="auto"/>
      </w:divBdr>
    </w:div>
    <w:div w:id="1076395517">
      <w:bodyDiv w:val="1"/>
      <w:marLeft w:val="0"/>
      <w:marRight w:val="0"/>
      <w:marTop w:val="0"/>
      <w:marBottom w:val="0"/>
      <w:divBdr>
        <w:top w:val="none" w:sz="0" w:space="0" w:color="auto"/>
        <w:left w:val="none" w:sz="0" w:space="0" w:color="auto"/>
        <w:bottom w:val="none" w:sz="0" w:space="0" w:color="auto"/>
        <w:right w:val="none" w:sz="0" w:space="0" w:color="auto"/>
      </w:divBdr>
      <w:divsChild>
        <w:div w:id="23210130">
          <w:marLeft w:val="0"/>
          <w:marRight w:val="0"/>
          <w:marTop w:val="0"/>
          <w:marBottom w:val="0"/>
          <w:divBdr>
            <w:top w:val="none" w:sz="0" w:space="0" w:color="auto"/>
            <w:left w:val="none" w:sz="0" w:space="0" w:color="auto"/>
            <w:bottom w:val="none" w:sz="0" w:space="0" w:color="auto"/>
            <w:right w:val="none" w:sz="0" w:space="0" w:color="auto"/>
          </w:divBdr>
        </w:div>
        <w:div w:id="30694794">
          <w:marLeft w:val="0"/>
          <w:marRight w:val="0"/>
          <w:marTop w:val="0"/>
          <w:marBottom w:val="0"/>
          <w:divBdr>
            <w:top w:val="none" w:sz="0" w:space="0" w:color="auto"/>
            <w:left w:val="none" w:sz="0" w:space="0" w:color="auto"/>
            <w:bottom w:val="none" w:sz="0" w:space="0" w:color="auto"/>
            <w:right w:val="none" w:sz="0" w:space="0" w:color="auto"/>
          </w:divBdr>
        </w:div>
        <w:div w:id="37049938">
          <w:marLeft w:val="0"/>
          <w:marRight w:val="0"/>
          <w:marTop w:val="0"/>
          <w:marBottom w:val="0"/>
          <w:divBdr>
            <w:top w:val="none" w:sz="0" w:space="0" w:color="auto"/>
            <w:left w:val="none" w:sz="0" w:space="0" w:color="auto"/>
            <w:bottom w:val="none" w:sz="0" w:space="0" w:color="auto"/>
            <w:right w:val="none" w:sz="0" w:space="0" w:color="auto"/>
          </w:divBdr>
        </w:div>
        <w:div w:id="39404091">
          <w:marLeft w:val="0"/>
          <w:marRight w:val="0"/>
          <w:marTop w:val="0"/>
          <w:marBottom w:val="0"/>
          <w:divBdr>
            <w:top w:val="none" w:sz="0" w:space="0" w:color="auto"/>
            <w:left w:val="none" w:sz="0" w:space="0" w:color="auto"/>
            <w:bottom w:val="none" w:sz="0" w:space="0" w:color="auto"/>
            <w:right w:val="none" w:sz="0" w:space="0" w:color="auto"/>
          </w:divBdr>
        </w:div>
        <w:div w:id="84424866">
          <w:marLeft w:val="0"/>
          <w:marRight w:val="0"/>
          <w:marTop w:val="0"/>
          <w:marBottom w:val="0"/>
          <w:divBdr>
            <w:top w:val="none" w:sz="0" w:space="0" w:color="auto"/>
            <w:left w:val="none" w:sz="0" w:space="0" w:color="auto"/>
            <w:bottom w:val="none" w:sz="0" w:space="0" w:color="auto"/>
            <w:right w:val="none" w:sz="0" w:space="0" w:color="auto"/>
          </w:divBdr>
        </w:div>
        <w:div w:id="125970559">
          <w:marLeft w:val="0"/>
          <w:marRight w:val="0"/>
          <w:marTop w:val="0"/>
          <w:marBottom w:val="0"/>
          <w:divBdr>
            <w:top w:val="none" w:sz="0" w:space="0" w:color="auto"/>
            <w:left w:val="none" w:sz="0" w:space="0" w:color="auto"/>
            <w:bottom w:val="none" w:sz="0" w:space="0" w:color="auto"/>
            <w:right w:val="none" w:sz="0" w:space="0" w:color="auto"/>
          </w:divBdr>
        </w:div>
        <w:div w:id="192698185">
          <w:marLeft w:val="0"/>
          <w:marRight w:val="0"/>
          <w:marTop w:val="0"/>
          <w:marBottom w:val="0"/>
          <w:divBdr>
            <w:top w:val="none" w:sz="0" w:space="0" w:color="auto"/>
            <w:left w:val="none" w:sz="0" w:space="0" w:color="auto"/>
            <w:bottom w:val="none" w:sz="0" w:space="0" w:color="auto"/>
            <w:right w:val="none" w:sz="0" w:space="0" w:color="auto"/>
          </w:divBdr>
        </w:div>
        <w:div w:id="196743201">
          <w:marLeft w:val="0"/>
          <w:marRight w:val="0"/>
          <w:marTop w:val="0"/>
          <w:marBottom w:val="0"/>
          <w:divBdr>
            <w:top w:val="none" w:sz="0" w:space="0" w:color="auto"/>
            <w:left w:val="none" w:sz="0" w:space="0" w:color="auto"/>
            <w:bottom w:val="none" w:sz="0" w:space="0" w:color="auto"/>
            <w:right w:val="none" w:sz="0" w:space="0" w:color="auto"/>
          </w:divBdr>
        </w:div>
        <w:div w:id="233667295">
          <w:marLeft w:val="0"/>
          <w:marRight w:val="0"/>
          <w:marTop w:val="0"/>
          <w:marBottom w:val="0"/>
          <w:divBdr>
            <w:top w:val="none" w:sz="0" w:space="0" w:color="auto"/>
            <w:left w:val="none" w:sz="0" w:space="0" w:color="auto"/>
            <w:bottom w:val="none" w:sz="0" w:space="0" w:color="auto"/>
            <w:right w:val="none" w:sz="0" w:space="0" w:color="auto"/>
          </w:divBdr>
        </w:div>
        <w:div w:id="241257006">
          <w:marLeft w:val="0"/>
          <w:marRight w:val="0"/>
          <w:marTop w:val="0"/>
          <w:marBottom w:val="0"/>
          <w:divBdr>
            <w:top w:val="none" w:sz="0" w:space="0" w:color="auto"/>
            <w:left w:val="none" w:sz="0" w:space="0" w:color="auto"/>
            <w:bottom w:val="none" w:sz="0" w:space="0" w:color="auto"/>
            <w:right w:val="none" w:sz="0" w:space="0" w:color="auto"/>
          </w:divBdr>
        </w:div>
        <w:div w:id="310602582">
          <w:marLeft w:val="0"/>
          <w:marRight w:val="0"/>
          <w:marTop w:val="0"/>
          <w:marBottom w:val="0"/>
          <w:divBdr>
            <w:top w:val="none" w:sz="0" w:space="0" w:color="auto"/>
            <w:left w:val="none" w:sz="0" w:space="0" w:color="auto"/>
            <w:bottom w:val="none" w:sz="0" w:space="0" w:color="auto"/>
            <w:right w:val="none" w:sz="0" w:space="0" w:color="auto"/>
          </w:divBdr>
        </w:div>
        <w:div w:id="351882654">
          <w:marLeft w:val="0"/>
          <w:marRight w:val="0"/>
          <w:marTop w:val="0"/>
          <w:marBottom w:val="0"/>
          <w:divBdr>
            <w:top w:val="none" w:sz="0" w:space="0" w:color="auto"/>
            <w:left w:val="none" w:sz="0" w:space="0" w:color="auto"/>
            <w:bottom w:val="none" w:sz="0" w:space="0" w:color="auto"/>
            <w:right w:val="none" w:sz="0" w:space="0" w:color="auto"/>
          </w:divBdr>
        </w:div>
        <w:div w:id="430010205">
          <w:marLeft w:val="0"/>
          <w:marRight w:val="0"/>
          <w:marTop w:val="0"/>
          <w:marBottom w:val="0"/>
          <w:divBdr>
            <w:top w:val="none" w:sz="0" w:space="0" w:color="auto"/>
            <w:left w:val="none" w:sz="0" w:space="0" w:color="auto"/>
            <w:bottom w:val="none" w:sz="0" w:space="0" w:color="auto"/>
            <w:right w:val="none" w:sz="0" w:space="0" w:color="auto"/>
          </w:divBdr>
        </w:div>
        <w:div w:id="442573653">
          <w:marLeft w:val="0"/>
          <w:marRight w:val="0"/>
          <w:marTop w:val="0"/>
          <w:marBottom w:val="0"/>
          <w:divBdr>
            <w:top w:val="none" w:sz="0" w:space="0" w:color="auto"/>
            <w:left w:val="none" w:sz="0" w:space="0" w:color="auto"/>
            <w:bottom w:val="none" w:sz="0" w:space="0" w:color="auto"/>
            <w:right w:val="none" w:sz="0" w:space="0" w:color="auto"/>
          </w:divBdr>
        </w:div>
        <w:div w:id="518929531">
          <w:marLeft w:val="0"/>
          <w:marRight w:val="0"/>
          <w:marTop w:val="0"/>
          <w:marBottom w:val="0"/>
          <w:divBdr>
            <w:top w:val="none" w:sz="0" w:space="0" w:color="auto"/>
            <w:left w:val="none" w:sz="0" w:space="0" w:color="auto"/>
            <w:bottom w:val="none" w:sz="0" w:space="0" w:color="auto"/>
            <w:right w:val="none" w:sz="0" w:space="0" w:color="auto"/>
          </w:divBdr>
        </w:div>
        <w:div w:id="546189538">
          <w:marLeft w:val="0"/>
          <w:marRight w:val="0"/>
          <w:marTop w:val="0"/>
          <w:marBottom w:val="0"/>
          <w:divBdr>
            <w:top w:val="none" w:sz="0" w:space="0" w:color="auto"/>
            <w:left w:val="none" w:sz="0" w:space="0" w:color="auto"/>
            <w:bottom w:val="none" w:sz="0" w:space="0" w:color="auto"/>
            <w:right w:val="none" w:sz="0" w:space="0" w:color="auto"/>
          </w:divBdr>
        </w:div>
        <w:div w:id="567541828">
          <w:marLeft w:val="0"/>
          <w:marRight w:val="0"/>
          <w:marTop w:val="0"/>
          <w:marBottom w:val="0"/>
          <w:divBdr>
            <w:top w:val="none" w:sz="0" w:space="0" w:color="auto"/>
            <w:left w:val="none" w:sz="0" w:space="0" w:color="auto"/>
            <w:bottom w:val="none" w:sz="0" w:space="0" w:color="auto"/>
            <w:right w:val="none" w:sz="0" w:space="0" w:color="auto"/>
          </w:divBdr>
        </w:div>
        <w:div w:id="689721744">
          <w:marLeft w:val="0"/>
          <w:marRight w:val="0"/>
          <w:marTop w:val="0"/>
          <w:marBottom w:val="0"/>
          <w:divBdr>
            <w:top w:val="none" w:sz="0" w:space="0" w:color="auto"/>
            <w:left w:val="none" w:sz="0" w:space="0" w:color="auto"/>
            <w:bottom w:val="none" w:sz="0" w:space="0" w:color="auto"/>
            <w:right w:val="none" w:sz="0" w:space="0" w:color="auto"/>
          </w:divBdr>
        </w:div>
        <w:div w:id="716899095">
          <w:marLeft w:val="0"/>
          <w:marRight w:val="0"/>
          <w:marTop w:val="0"/>
          <w:marBottom w:val="0"/>
          <w:divBdr>
            <w:top w:val="none" w:sz="0" w:space="0" w:color="auto"/>
            <w:left w:val="none" w:sz="0" w:space="0" w:color="auto"/>
            <w:bottom w:val="none" w:sz="0" w:space="0" w:color="auto"/>
            <w:right w:val="none" w:sz="0" w:space="0" w:color="auto"/>
          </w:divBdr>
        </w:div>
        <w:div w:id="788012337">
          <w:marLeft w:val="0"/>
          <w:marRight w:val="0"/>
          <w:marTop w:val="0"/>
          <w:marBottom w:val="0"/>
          <w:divBdr>
            <w:top w:val="none" w:sz="0" w:space="0" w:color="auto"/>
            <w:left w:val="none" w:sz="0" w:space="0" w:color="auto"/>
            <w:bottom w:val="none" w:sz="0" w:space="0" w:color="auto"/>
            <w:right w:val="none" w:sz="0" w:space="0" w:color="auto"/>
          </w:divBdr>
        </w:div>
        <w:div w:id="794955374">
          <w:marLeft w:val="0"/>
          <w:marRight w:val="0"/>
          <w:marTop w:val="0"/>
          <w:marBottom w:val="0"/>
          <w:divBdr>
            <w:top w:val="none" w:sz="0" w:space="0" w:color="auto"/>
            <w:left w:val="none" w:sz="0" w:space="0" w:color="auto"/>
            <w:bottom w:val="none" w:sz="0" w:space="0" w:color="auto"/>
            <w:right w:val="none" w:sz="0" w:space="0" w:color="auto"/>
          </w:divBdr>
        </w:div>
        <w:div w:id="802575618">
          <w:marLeft w:val="0"/>
          <w:marRight w:val="0"/>
          <w:marTop w:val="0"/>
          <w:marBottom w:val="0"/>
          <w:divBdr>
            <w:top w:val="none" w:sz="0" w:space="0" w:color="auto"/>
            <w:left w:val="none" w:sz="0" w:space="0" w:color="auto"/>
            <w:bottom w:val="none" w:sz="0" w:space="0" w:color="auto"/>
            <w:right w:val="none" w:sz="0" w:space="0" w:color="auto"/>
          </w:divBdr>
        </w:div>
        <w:div w:id="803158845">
          <w:marLeft w:val="0"/>
          <w:marRight w:val="0"/>
          <w:marTop w:val="0"/>
          <w:marBottom w:val="0"/>
          <w:divBdr>
            <w:top w:val="none" w:sz="0" w:space="0" w:color="auto"/>
            <w:left w:val="none" w:sz="0" w:space="0" w:color="auto"/>
            <w:bottom w:val="none" w:sz="0" w:space="0" w:color="auto"/>
            <w:right w:val="none" w:sz="0" w:space="0" w:color="auto"/>
          </w:divBdr>
        </w:div>
        <w:div w:id="812330174">
          <w:marLeft w:val="0"/>
          <w:marRight w:val="0"/>
          <w:marTop w:val="0"/>
          <w:marBottom w:val="0"/>
          <w:divBdr>
            <w:top w:val="none" w:sz="0" w:space="0" w:color="auto"/>
            <w:left w:val="none" w:sz="0" w:space="0" w:color="auto"/>
            <w:bottom w:val="none" w:sz="0" w:space="0" w:color="auto"/>
            <w:right w:val="none" w:sz="0" w:space="0" w:color="auto"/>
          </w:divBdr>
        </w:div>
        <w:div w:id="968052318">
          <w:marLeft w:val="0"/>
          <w:marRight w:val="0"/>
          <w:marTop w:val="0"/>
          <w:marBottom w:val="0"/>
          <w:divBdr>
            <w:top w:val="none" w:sz="0" w:space="0" w:color="auto"/>
            <w:left w:val="none" w:sz="0" w:space="0" w:color="auto"/>
            <w:bottom w:val="none" w:sz="0" w:space="0" w:color="auto"/>
            <w:right w:val="none" w:sz="0" w:space="0" w:color="auto"/>
          </w:divBdr>
        </w:div>
        <w:div w:id="994836897">
          <w:marLeft w:val="0"/>
          <w:marRight w:val="0"/>
          <w:marTop w:val="0"/>
          <w:marBottom w:val="0"/>
          <w:divBdr>
            <w:top w:val="none" w:sz="0" w:space="0" w:color="auto"/>
            <w:left w:val="none" w:sz="0" w:space="0" w:color="auto"/>
            <w:bottom w:val="none" w:sz="0" w:space="0" w:color="auto"/>
            <w:right w:val="none" w:sz="0" w:space="0" w:color="auto"/>
          </w:divBdr>
        </w:div>
        <w:div w:id="999962396">
          <w:marLeft w:val="0"/>
          <w:marRight w:val="0"/>
          <w:marTop w:val="0"/>
          <w:marBottom w:val="0"/>
          <w:divBdr>
            <w:top w:val="none" w:sz="0" w:space="0" w:color="auto"/>
            <w:left w:val="none" w:sz="0" w:space="0" w:color="auto"/>
            <w:bottom w:val="none" w:sz="0" w:space="0" w:color="auto"/>
            <w:right w:val="none" w:sz="0" w:space="0" w:color="auto"/>
          </w:divBdr>
        </w:div>
        <w:div w:id="1002468335">
          <w:marLeft w:val="0"/>
          <w:marRight w:val="0"/>
          <w:marTop w:val="0"/>
          <w:marBottom w:val="0"/>
          <w:divBdr>
            <w:top w:val="none" w:sz="0" w:space="0" w:color="auto"/>
            <w:left w:val="none" w:sz="0" w:space="0" w:color="auto"/>
            <w:bottom w:val="none" w:sz="0" w:space="0" w:color="auto"/>
            <w:right w:val="none" w:sz="0" w:space="0" w:color="auto"/>
          </w:divBdr>
        </w:div>
        <w:div w:id="1080062490">
          <w:marLeft w:val="0"/>
          <w:marRight w:val="0"/>
          <w:marTop w:val="0"/>
          <w:marBottom w:val="0"/>
          <w:divBdr>
            <w:top w:val="none" w:sz="0" w:space="0" w:color="auto"/>
            <w:left w:val="none" w:sz="0" w:space="0" w:color="auto"/>
            <w:bottom w:val="none" w:sz="0" w:space="0" w:color="auto"/>
            <w:right w:val="none" w:sz="0" w:space="0" w:color="auto"/>
          </w:divBdr>
        </w:div>
        <w:div w:id="1081875580">
          <w:marLeft w:val="0"/>
          <w:marRight w:val="0"/>
          <w:marTop w:val="0"/>
          <w:marBottom w:val="0"/>
          <w:divBdr>
            <w:top w:val="none" w:sz="0" w:space="0" w:color="auto"/>
            <w:left w:val="none" w:sz="0" w:space="0" w:color="auto"/>
            <w:bottom w:val="none" w:sz="0" w:space="0" w:color="auto"/>
            <w:right w:val="none" w:sz="0" w:space="0" w:color="auto"/>
          </w:divBdr>
        </w:div>
        <w:div w:id="1087120745">
          <w:marLeft w:val="0"/>
          <w:marRight w:val="0"/>
          <w:marTop w:val="0"/>
          <w:marBottom w:val="0"/>
          <w:divBdr>
            <w:top w:val="none" w:sz="0" w:space="0" w:color="auto"/>
            <w:left w:val="none" w:sz="0" w:space="0" w:color="auto"/>
            <w:bottom w:val="none" w:sz="0" w:space="0" w:color="auto"/>
            <w:right w:val="none" w:sz="0" w:space="0" w:color="auto"/>
          </w:divBdr>
        </w:div>
        <w:div w:id="1089305885">
          <w:marLeft w:val="0"/>
          <w:marRight w:val="0"/>
          <w:marTop w:val="0"/>
          <w:marBottom w:val="0"/>
          <w:divBdr>
            <w:top w:val="none" w:sz="0" w:space="0" w:color="auto"/>
            <w:left w:val="none" w:sz="0" w:space="0" w:color="auto"/>
            <w:bottom w:val="none" w:sz="0" w:space="0" w:color="auto"/>
            <w:right w:val="none" w:sz="0" w:space="0" w:color="auto"/>
          </w:divBdr>
        </w:div>
        <w:div w:id="1092894570">
          <w:marLeft w:val="0"/>
          <w:marRight w:val="0"/>
          <w:marTop w:val="0"/>
          <w:marBottom w:val="0"/>
          <w:divBdr>
            <w:top w:val="none" w:sz="0" w:space="0" w:color="auto"/>
            <w:left w:val="none" w:sz="0" w:space="0" w:color="auto"/>
            <w:bottom w:val="none" w:sz="0" w:space="0" w:color="auto"/>
            <w:right w:val="none" w:sz="0" w:space="0" w:color="auto"/>
          </w:divBdr>
        </w:div>
        <w:div w:id="1141774439">
          <w:marLeft w:val="0"/>
          <w:marRight w:val="0"/>
          <w:marTop w:val="0"/>
          <w:marBottom w:val="0"/>
          <w:divBdr>
            <w:top w:val="none" w:sz="0" w:space="0" w:color="auto"/>
            <w:left w:val="none" w:sz="0" w:space="0" w:color="auto"/>
            <w:bottom w:val="none" w:sz="0" w:space="0" w:color="auto"/>
            <w:right w:val="none" w:sz="0" w:space="0" w:color="auto"/>
          </w:divBdr>
        </w:div>
        <w:div w:id="1190604375">
          <w:marLeft w:val="0"/>
          <w:marRight w:val="0"/>
          <w:marTop w:val="0"/>
          <w:marBottom w:val="0"/>
          <w:divBdr>
            <w:top w:val="none" w:sz="0" w:space="0" w:color="auto"/>
            <w:left w:val="none" w:sz="0" w:space="0" w:color="auto"/>
            <w:bottom w:val="none" w:sz="0" w:space="0" w:color="auto"/>
            <w:right w:val="none" w:sz="0" w:space="0" w:color="auto"/>
          </w:divBdr>
        </w:div>
        <w:div w:id="1194878255">
          <w:marLeft w:val="0"/>
          <w:marRight w:val="0"/>
          <w:marTop w:val="0"/>
          <w:marBottom w:val="0"/>
          <w:divBdr>
            <w:top w:val="none" w:sz="0" w:space="0" w:color="auto"/>
            <w:left w:val="none" w:sz="0" w:space="0" w:color="auto"/>
            <w:bottom w:val="none" w:sz="0" w:space="0" w:color="auto"/>
            <w:right w:val="none" w:sz="0" w:space="0" w:color="auto"/>
          </w:divBdr>
        </w:div>
        <w:div w:id="1339502232">
          <w:marLeft w:val="0"/>
          <w:marRight w:val="0"/>
          <w:marTop w:val="0"/>
          <w:marBottom w:val="0"/>
          <w:divBdr>
            <w:top w:val="none" w:sz="0" w:space="0" w:color="auto"/>
            <w:left w:val="none" w:sz="0" w:space="0" w:color="auto"/>
            <w:bottom w:val="none" w:sz="0" w:space="0" w:color="auto"/>
            <w:right w:val="none" w:sz="0" w:space="0" w:color="auto"/>
          </w:divBdr>
        </w:div>
        <w:div w:id="1357460269">
          <w:marLeft w:val="0"/>
          <w:marRight w:val="0"/>
          <w:marTop w:val="0"/>
          <w:marBottom w:val="0"/>
          <w:divBdr>
            <w:top w:val="none" w:sz="0" w:space="0" w:color="auto"/>
            <w:left w:val="none" w:sz="0" w:space="0" w:color="auto"/>
            <w:bottom w:val="none" w:sz="0" w:space="0" w:color="auto"/>
            <w:right w:val="none" w:sz="0" w:space="0" w:color="auto"/>
          </w:divBdr>
        </w:div>
        <w:div w:id="1367608823">
          <w:marLeft w:val="0"/>
          <w:marRight w:val="0"/>
          <w:marTop w:val="0"/>
          <w:marBottom w:val="0"/>
          <w:divBdr>
            <w:top w:val="none" w:sz="0" w:space="0" w:color="auto"/>
            <w:left w:val="none" w:sz="0" w:space="0" w:color="auto"/>
            <w:bottom w:val="none" w:sz="0" w:space="0" w:color="auto"/>
            <w:right w:val="none" w:sz="0" w:space="0" w:color="auto"/>
          </w:divBdr>
        </w:div>
        <w:div w:id="1376000398">
          <w:marLeft w:val="0"/>
          <w:marRight w:val="0"/>
          <w:marTop w:val="0"/>
          <w:marBottom w:val="0"/>
          <w:divBdr>
            <w:top w:val="none" w:sz="0" w:space="0" w:color="auto"/>
            <w:left w:val="none" w:sz="0" w:space="0" w:color="auto"/>
            <w:bottom w:val="none" w:sz="0" w:space="0" w:color="auto"/>
            <w:right w:val="none" w:sz="0" w:space="0" w:color="auto"/>
          </w:divBdr>
        </w:div>
        <w:div w:id="1376466046">
          <w:marLeft w:val="0"/>
          <w:marRight w:val="0"/>
          <w:marTop w:val="0"/>
          <w:marBottom w:val="0"/>
          <w:divBdr>
            <w:top w:val="none" w:sz="0" w:space="0" w:color="auto"/>
            <w:left w:val="none" w:sz="0" w:space="0" w:color="auto"/>
            <w:bottom w:val="none" w:sz="0" w:space="0" w:color="auto"/>
            <w:right w:val="none" w:sz="0" w:space="0" w:color="auto"/>
          </w:divBdr>
        </w:div>
        <w:div w:id="1401715396">
          <w:marLeft w:val="0"/>
          <w:marRight w:val="0"/>
          <w:marTop w:val="0"/>
          <w:marBottom w:val="0"/>
          <w:divBdr>
            <w:top w:val="none" w:sz="0" w:space="0" w:color="auto"/>
            <w:left w:val="none" w:sz="0" w:space="0" w:color="auto"/>
            <w:bottom w:val="none" w:sz="0" w:space="0" w:color="auto"/>
            <w:right w:val="none" w:sz="0" w:space="0" w:color="auto"/>
          </w:divBdr>
        </w:div>
        <w:div w:id="1404837594">
          <w:marLeft w:val="0"/>
          <w:marRight w:val="0"/>
          <w:marTop w:val="0"/>
          <w:marBottom w:val="0"/>
          <w:divBdr>
            <w:top w:val="none" w:sz="0" w:space="0" w:color="auto"/>
            <w:left w:val="none" w:sz="0" w:space="0" w:color="auto"/>
            <w:bottom w:val="none" w:sz="0" w:space="0" w:color="auto"/>
            <w:right w:val="none" w:sz="0" w:space="0" w:color="auto"/>
          </w:divBdr>
        </w:div>
        <w:div w:id="1514565025">
          <w:marLeft w:val="0"/>
          <w:marRight w:val="0"/>
          <w:marTop w:val="0"/>
          <w:marBottom w:val="0"/>
          <w:divBdr>
            <w:top w:val="none" w:sz="0" w:space="0" w:color="auto"/>
            <w:left w:val="none" w:sz="0" w:space="0" w:color="auto"/>
            <w:bottom w:val="none" w:sz="0" w:space="0" w:color="auto"/>
            <w:right w:val="none" w:sz="0" w:space="0" w:color="auto"/>
          </w:divBdr>
        </w:div>
        <w:div w:id="1527861880">
          <w:marLeft w:val="0"/>
          <w:marRight w:val="0"/>
          <w:marTop w:val="0"/>
          <w:marBottom w:val="0"/>
          <w:divBdr>
            <w:top w:val="none" w:sz="0" w:space="0" w:color="auto"/>
            <w:left w:val="none" w:sz="0" w:space="0" w:color="auto"/>
            <w:bottom w:val="none" w:sz="0" w:space="0" w:color="auto"/>
            <w:right w:val="none" w:sz="0" w:space="0" w:color="auto"/>
          </w:divBdr>
        </w:div>
        <w:div w:id="1531331714">
          <w:marLeft w:val="0"/>
          <w:marRight w:val="0"/>
          <w:marTop w:val="0"/>
          <w:marBottom w:val="0"/>
          <w:divBdr>
            <w:top w:val="none" w:sz="0" w:space="0" w:color="auto"/>
            <w:left w:val="none" w:sz="0" w:space="0" w:color="auto"/>
            <w:bottom w:val="none" w:sz="0" w:space="0" w:color="auto"/>
            <w:right w:val="none" w:sz="0" w:space="0" w:color="auto"/>
          </w:divBdr>
        </w:div>
        <w:div w:id="1577663733">
          <w:marLeft w:val="0"/>
          <w:marRight w:val="0"/>
          <w:marTop w:val="0"/>
          <w:marBottom w:val="0"/>
          <w:divBdr>
            <w:top w:val="none" w:sz="0" w:space="0" w:color="auto"/>
            <w:left w:val="none" w:sz="0" w:space="0" w:color="auto"/>
            <w:bottom w:val="none" w:sz="0" w:space="0" w:color="auto"/>
            <w:right w:val="none" w:sz="0" w:space="0" w:color="auto"/>
          </w:divBdr>
        </w:div>
        <w:div w:id="1581677404">
          <w:marLeft w:val="0"/>
          <w:marRight w:val="0"/>
          <w:marTop w:val="0"/>
          <w:marBottom w:val="0"/>
          <w:divBdr>
            <w:top w:val="none" w:sz="0" w:space="0" w:color="auto"/>
            <w:left w:val="none" w:sz="0" w:space="0" w:color="auto"/>
            <w:bottom w:val="none" w:sz="0" w:space="0" w:color="auto"/>
            <w:right w:val="none" w:sz="0" w:space="0" w:color="auto"/>
          </w:divBdr>
        </w:div>
        <w:div w:id="1589921617">
          <w:marLeft w:val="0"/>
          <w:marRight w:val="0"/>
          <w:marTop w:val="0"/>
          <w:marBottom w:val="0"/>
          <w:divBdr>
            <w:top w:val="none" w:sz="0" w:space="0" w:color="auto"/>
            <w:left w:val="none" w:sz="0" w:space="0" w:color="auto"/>
            <w:bottom w:val="none" w:sz="0" w:space="0" w:color="auto"/>
            <w:right w:val="none" w:sz="0" w:space="0" w:color="auto"/>
          </w:divBdr>
        </w:div>
        <w:div w:id="1641954662">
          <w:marLeft w:val="0"/>
          <w:marRight w:val="0"/>
          <w:marTop w:val="0"/>
          <w:marBottom w:val="0"/>
          <w:divBdr>
            <w:top w:val="none" w:sz="0" w:space="0" w:color="auto"/>
            <w:left w:val="none" w:sz="0" w:space="0" w:color="auto"/>
            <w:bottom w:val="none" w:sz="0" w:space="0" w:color="auto"/>
            <w:right w:val="none" w:sz="0" w:space="0" w:color="auto"/>
          </w:divBdr>
        </w:div>
        <w:div w:id="1676374005">
          <w:marLeft w:val="0"/>
          <w:marRight w:val="0"/>
          <w:marTop w:val="0"/>
          <w:marBottom w:val="0"/>
          <w:divBdr>
            <w:top w:val="none" w:sz="0" w:space="0" w:color="auto"/>
            <w:left w:val="none" w:sz="0" w:space="0" w:color="auto"/>
            <w:bottom w:val="none" w:sz="0" w:space="0" w:color="auto"/>
            <w:right w:val="none" w:sz="0" w:space="0" w:color="auto"/>
          </w:divBdr>
        </w:div>
        <w:div w:id="1716393251">
          <w:marLeft w:val="0"/>
          <w:marRight w:val="0"/>
          <w:marTop w:val="0"/>
          <w:marBottom w:val="0"/>
          <w:divBdr>
            <w:top w:val="none" w:sz="0" w:space="0" w:color="auto"/>
            <w:left w:val="none" w:sz="0" w:space="0" w:color="auto"/>
            <w:bottom w:val="none" w:sz="0" w:space="0" w:color="auto"/>
            <w:right w:val="none" w:sz="0" w:space="0" w:color="auto"/>
          </w:divBdr>
        </w:div>
        <w:div w:id="1734348763">
          <w:marLeft w:val="0"/>
          <w:marRight w:val="0"/>
          <w:marTop w:val="0"/>
          <w:marBottom w:val="0"/>
          <w:divBdr>
            <w:top w:val="none" w:sz="0" w:space="0" w:color="auto"/>
            <w:left w:val="none" w:sz="0" w:space="0" w:color="auto"/>
            <w:bottom w:val="none" w:sz="0" w:space="0" w:color="auto"/>
            <w:right w:val="none" w:sz="0" w:space="0" w:color="auto"/>
          </w:divBdr>
        </w:div>
        <w:div w:id="1766995654">
          <w:marLeft w:val="0"/>
          <w:marRight w:val="0"/>
          <w:marTop w:val="0"/>
          <w:marBottom w:val="0"/>
          <w:divBdr>
            <w:top w:val="none" w:sz="0" w:space="0" w:color="auto"/>
            <w:left w:val="none" w:sz="0" w:space="0" w:color="auto"/>
            <w:bottom w:val="none" w:sz="0" w:space="0" w:color="auto"/>
            <w:right w:val="none" w:sz="0" w:space="0" w:color="auto"/>
          </w:divBdr>
        </w:div>
        <w:div w:id="1809515173">
          <w:marLeft w:val="0"/>
          <w:marRight w:val="0"/>
          <w:marTop w:val="0"/>
          <w:marBottom w:val="0"/>
          <w:divBdr>
            <w:top w:val="none" w:sz="0" w:space="0" w:color="auto"/>
            <w:left w:val="none" w:sz="0" w:space="0" w:color="auto"/>
            <w:bottom w:val="none" w:sz="0" w:space="0" w:color="auto"/>
            <w:right w:val="none" w:sz="0" w:space="0" w:color="auto"/>
          </w:divBdr>
        </w:div>
        <w:div w:id="1817185938">
          <w:marLeft w:val="0"/>
          <w:marRight w:val="0"/>
          <w:marTop w:val="0"/>
          <w:marBottom w:val="0"/>
          <w:divBdr>
            <w:top w:val="none" w:sz="0" w:space="0" w:color="auto"/>
            <w:left w:val="none" w:sz="0" w:space="0" w:color="auto"/>
            <w:bottom w:val="none" w:sz="0" w:space="0" w:color="auto"/>
            <w:right w:val="none" w:sz="0" w:space="0" w:color="auto"/>
          </w:divBdr>
        </w:div>
        <w:div w:id="1822774757">
          <w:marLeft w:val="0"/>
          <w:marRight w:val="0"/>
          <w:marTop w:val="0"/>
          <w:marBottom w:val="0"/>
          <w:divBdr>
            <w:top w:val="none" w:sz="0" w:space="0" w:color="auto"/>
            <w:left w:val="none" w:sz="0" w:space="0" w:color="auto"/>
            <w:bottom w:val="none" w:sz="0" w:space="0" w:color="auto"/>
            <w:right w:val="none" w:sz="0" w:space="0" w:color="auto"/>
          </w:divBdr>
        </w:div>
        <w:div w:id="1858152447">
          <w:marLeft w:val="0"/>
          <w:marRight w:val="0"/>
          <w:marTop w:val="0"/>
          <w:marBottom w:val="0"/>
          <w:divBdr>
            <w:top w:val="none" w:sz="0" w:space="0" w:color="auto"/>
            <w:left w:val="none" w:sz="0" w:space="0" w:color="auto"/>
            <w:bottom w:val="none" w:sz="0" w:space="0" w:color="auto"/>
            <w:right w:val="none" w:sz="0" w:space="0" w:color="auto"/>
          </w:divBdr>
        </w:div>
        <w:div w:id="1867793745">
          <w:marLeft w:val="0"/>
          <w:marRight w:val="0"/>
          <w:marTop w:val="0"/>
          <w:marBottom w:val="0"/>
          <w:divBdr>
            <w:top w:val="none" w:sz="0" w:space="0" w:color="auto"/>
            <w:left w:val="none" w:sz="0" w:space="0" w:color="auto"/>
            <w:bottom w:val="none" w:sz="0" w:space="0" w:color="auto"/>
            <w:right w:val="none" w:sz="0" w:space="0" w:color="auto"/>
          </w:divBdr>
        </w:div>
        <w:div w:id="1871916749">
          <w:marLeft w:val="0"/>
          <w:marRight w:val="0"/>
          <w:marTop w:val="0"/>
          <w:marBottom w:val="0"/>
          <w:divBdr>
            <w:top w:val="none" w:sz="0" w:space="0" w:color="auto"/>
            <w:left w:val="none" w:sz="0" w:space="0" w:color="auto"/>
            <w:bottom w:val="none" w:sz="0" w:space="0" w:color="auto"/>
            <w:right w:val="none" w:sz="0" w:space="0" w:color="auto"/>
          </w:divBdr>
        </w:div>
        <w:div w:id="1898976993">
          <w:marLeft w:val="0"/>
          <w:marRight w:val="0"/>
          <w:marTop w:val="0"/>
          <w:marBottom w:val="0"/>
          <w:divBdr>
            <w:top w:val="none" w:sz="0" w:space="0" w:color="auto"/>
            <w:left w:val="none" w:sz="0" w:space="0" w:color="auto"/>
            <w:bottom w:val="none" w:sz="0" w:space="0" w:color="auto"/>
            <w:right w:val="none" w:sz="0" w:space="0" w:color="auto"/>
          </w:divBdr>
        </w:div>
        <w:div w:id="1923447461">
          <w:marLeft w:val="0"/>
          <w:marRight w:val="0"/>
          <w:marTop w:val="0"/>
          <w:marBottom w:val="0"/>
          <w:divBdr>
            <w:top w:val="none" w:sz="0" w:space="0" w:color="auto"/>
            <w:left w:val="none" w:sz="0" w:space="0" w:color="auto"/>
            <w:bottom w:val="none" w:sz="0" w:space="0" w:color="auto"/>
            <w:right w:val="none" w:sz="0" w:space="0" w:color="auto"/>
          </w:divBdr>
        </w:div>
        <w:div w:id="1935358549">
          <w:marLeft w:val="0"/>
          <w:marRight w:val="0"/>
          <w:marTop w:val="0"/>
          <w:marBottom w:val="0"/>
          <w:divBdr>
            <w:top w:val="none" w:sz="0" w:space="0" w:color="auto"/>
            <w:left w:val="none" w:sz="0" w:space="0" w:color="auto"/>
            <w:bottom w:val="none" w:sz="0" w:space="0" w:color="auto"/>
            <w:right w:val="none" w:sz="0" w:space="0" w:color="auto"/>
          </w:divBdr>
        </w:div>
        <w:div w:id="2014527356">
          <w:marLeft w:val="0"/>
          <w:marRight w:val="0"/>
          <w:marTop w:val="0"/>
          <w:marBottom w:val="0"/>
          <w:divBdr>
            <w:top w:val="none" w:sz="0" w:space="0" w:color="auto"/>
            <w:left w:val="none" w:sz="0" w:space="0" w:color="auto"/>
            <w:bottom w:val="none" w:sz="0" w:space="0" w:color="auto"/>
            <w:right w:val="none" w:sz="0" w:space="0" w:color="auto"/>
          </w:divBdr>
        </w:div>
        <w:div w:id="2042171305">
          <w:marLeft w:val="0"/>
          <w:marRight w:val="0"/>
          <w:marTop w:val="0"/>
          <w:marBottom w:val="0"/>
          <w:divBdr>
            <w:top w:val="none" w:sz="0" w:space="0" w:color="auto"/>
            <w:left w:val="none" w:sz="0" w:space="0" w:color="auto"/>
            <w:bottom w:val="none" w:sz="0" w:space="0" w:color="auto"/>
            <w:right w:val="none" w:sz="0" w:space="0" w:color="auto"/>
          </w:divBdr>
        </w:div>
        <w:div w:id="2084453672">
          <w:marLeft w:val="0"/>
          <w:marRight w:val="0"/>
          <w:marTop w:val="0"/>
          <w:marBottom w:val="0"/>
          <w:divBdr>
            <w:top w:val="none" w:sz="0" w:space="0" w:color="auto"/>
            <w:left w:val="none" w:sz="0" w:space="0" w:color="auto"/>
            <w:bottom w:val="none" w:sz="0" w:space="0" w:color="auto"/>
            <w:right w:val="none" w:sz="0" w:space="0" w:color="auto"/>
          </w:divBdr>
        </w:div>
      </w:divsChild>
    </w:div>
    <w:div w:id="1485439161">
      <w:bodyDiv w:val="1"/>
      <w:marLeft w:val="0"/>
      <w:marRight w:val="0"/>
      <w:marTop w:val="0"/>
      <w:marBottom w:val="0"/>
      <w:divBdr>
        <w:top w:val="none" w:sz="0" w:space="0" w:color="auto"/>
        <w:left w:val="none" w:sz="0" w:space="0" w:color="auto"/>
        <w:bottom w:val="none" w:sz="0" w:space="0" w:color="auto"/>
        <w:right w:val="none" w:sz="0" w:space="0" w:color="auto"/>
      </w:divBdr>
      <w:divsChild>
        <w:div w:id="1960527259">
          <w:marLeft w:val="0"/>
          <w:marRight w:val="0"/>
          <w:marTop w:val="0"/>
          <w:marBottom w:val="0"/>
          <w:divBdr>
            <w:top w:val="none" w:sz="0" w:space="0" w:color="auto"/>
            <w:left w:val="none" w:sz="0" w:space="0" w:color="auto"/>
            <w:bottom w:val="none" w:sz="0" w:space="0" w:color="auto"/>
            <w:right w:val="none" w:sz="0" w:space="0" w:color="auto"/>
          </w:divBdr>
          <w:divsChild>
            <w:div w:id="1020088439">
              <w:marLeft w:val="0"/>
              <w:marRight w:val="0"/>
              <w:marTop w:val="0"/>
              <w:marBottom w:val="0"/>
              <w:divBdr>
                <w:top w:val="none" w:sz="0" w:space="0" w:color="auto"/>
                <w:left w:val="none" w:sz="0" w:space="0" w:color="auto"/>
                <w:bottom w:val="none" w:sz="0" w:space="0" w:color="auto"/>
                <w:right w:val="none" w:sz="0" w:space="0" w:color="auto"/>
              </w:divBdr>
              <w:divsChild>
                <w:div w:id="16397">
                  <w:marLeft w:val="0"/>
                  <w:marRight w:val="0"/>
                  <w:marTop w:val="0"/>
                  <w:marBottom w:val="0"/>
                  <w:divBdr>
                    <w:top w:val="none" w:sz="0" w:space="0" w:color="auto"/>
                    <w:left w:val="none" w:sz="0" w:space="0" w:color="auto"/>
                    <w:bottom w:val="none" w:sz="0" w:space="0" w:color="auto"/>
                    <w:right w:val="none" w:sz="0" w:space="0" w:color="auto"/>
                  </w:divBdr>
                </w:div>
                <w:div w:id="43601527">
                  <w:marLeft w:val="0"/>
                  <w:marRight w:val="0"/>
                  <w:marTop w:val="0"/>
                  <w:marBottom w:val="0"/>
                  <w:divBdr>
                    <w:top w:val="none" w:sz="0" w:space="0" w:color="auto"/>
                    <w:left w:val="none" w:sz="0" w:space="0" w:color="auto"/>
                    <w:bottom w:val="none" w:sz="0" w:space="0" w:color="auto"/>
                    <w:right w:val="none" w:sz="0" w:space="0" w:color="auto"/>
                  </w:divBdr>
                </w:div>
                <w:div w:id="44985676">
                  <w:marLeft w:val="0"/>
                  <w:marRight w:val="0"/>
                  <w:marTop w:val="0"/>
                  <w:marBottom w:val="0"/>
                  <w:divBdr>
                    <w:top w:val="none" w:sz="0" w:space="0" w:color="auto"/>
                    <w:left w:val="none" w:sz="0" w:space="0" w:color="auto"/>
                    <w:bottom w:val="none" w:sz="0" w:space="0" w:color="auto"/>
                    <w:right w:val="none" w:sz="0" w:space="0" w:color="auto"/>
                  </w:divBdr>
                </w:div>
                <w:div w:id="78648924">
                  <w:marLeft w:val="0"/>
                  <w:marRight w:val="0"/>
                  <w:marTop w:val="0"/>
                  <w:marBottom w:val="0"/>
                  <w:divBdr>
                    <w:top w:val="none" w:sz="0" w:space="0" w:color="auto"/>
                    <w:left w:val="none" w:sz="0" w:space="0" w:color="auto"/>
                    <w:bottom w:val="none" w:sz="0" w:space="0" w:color="auto"/>
                    <w:right w:val="none" w:sz="0" w:space="0" w:color="auto"/>
                  </w:divBdr>
                </w:div>
                <w:div w:id="261375644">
                  <w:marLeft w:val="0"/>
                  <w:marRight w:val="0"/>
                  <w:marTop w:val="0"/>
                  <w:marBottom w:val="0"/>
                  <w:divBdr>
                    <w:top w:val="none" w:sz="0" w:space="0" w:color="auto"/>
                    <w:left w:val="none" w:sz="0" w:space="0" w:color="auto"/>
                    <w:bottom w:val="none" w:sz="0" w:space="0" w:color="auto"/>
                    <w:right w:val="none" w:sz="0" w:space="0" w:color="auto"/>
                  </w:divBdr>
                </w:div>
                <w:div w:id="288778178">
                  <w:marLeft w:val="0"/>
                  <w:marRight w:val="0"/>
                  <w:marTop w:val="0"/>
                  <w:marBottom w:val="0"/>
                  <w:divBdr>
                    <w:top w:val="none" w:sz="0" w:space="0" w:color="auto"/>
                    <w:left w:val="none" w:sz="0" w:space="0" w:color="auto"/>
                    <w:bottom w:val="none" w:sz="0" w:space="0" w:color="auto"/>
                    <w:right w:val="none" w:sz="0" w:space="0" w:color="auto"/>
                  </w:divBdr>
                </w:div>
                <w:div w:id="299308644">
                  <w:marLeft w:val="0"/>
                  <w:marRight w:val="0"/>
                  <w:marTop w:val="0"/>
                  <w:marBottom w:val="0"/>
                  <w:divBdr>
                    <w:top w:val="none" w:sz="0" w:space="0" w:color="auto"/>
                    <w:left w:val="none" w:sz="0" w:space="0" w:color="auto"/>
                    <w:bottom w:val="none" w:sz="0" w:space="0" w:color="auto"/>
                    <w:right w:val="none" w:sz="0" w:space="0" w:color="auto"/>
                  </w:divBdr>
                </w:div>
                <w:div w:id="404836502">
                  <w:marLeft w:val="0"/>
                  <w:marRight w:val="0"/>
                  <w:marTop w:val="0"/>
                  <w:marBottom w:val="0"/>
                  <w:divBdr>
                    <w:top w:val="none" w:sz="0" w:space="0" w:color="auto"/>
                    <w:left w:val="none" w:sz="0" w:space="0" w:color="auto"/>
                    <w:bottom w:val="none" w:sz="0" w:space="0" w:color="auto"/>
                    <w:right w:val="none" w:sz="0" w:space="0" w:color="auto"/>
                  </w:divBdr>
                </w:div>
                <w:div w:id="409691096">
                  <w:marLeft w:val="0"/>
                  <w:marRight w:val="0"/>
                  <w:marTop w:val="0"/>
                  <w:marBottom w:val="0"/>
                  <w:divBdr>
                    <w:top w:val="none" w:sz="0" w:space="0" w:color="auto"/>
                    <w:left w:val="none" w:sz="0" w:space="0" w:color="auto"/>
                    <w:bottom w:val="none" w:sz="0" w:space="0" w:color="auto"/>
                    <w:right w:val="none" w:sz="0" w:space="0" w:color="auto"/>
                  </w:divBdr>
                </w:div>
                <w:div w:id="411006175">
                  <w:marLeft w:val="0"/>
                  <w:marRight w:val="0"/>
                  <w:marTop w:val="0"/>
                  <w:marBottom w:val="0"/>
                  <w:divBdr>
                    <w:top w:val="none" w:sz="0" w:space="0" w:color="auto"/>
                    <w:left w:val="none" w:sz="0" w:space="0" w:color="auto"/>
                    <w:bottom w:val="none" w:sz="0" w:space="0" w:color="auto"/>
                    <w:right w:val="none" w:sz="0" w:space="0" w:color="auto"/>
                  </w:divBdr>
                </w:div>
                <w:div w:id="427770009">
                  <w:marLeft w:val="0"/>
                  <w:marRight w:val="0"/>
                  <w:marTop w:val="0"/>
                  <w:marBottom w:val="0"/>
                  <w:divBdr>
                    <w:top w:val="none" w:sz="0" w:space="0" w:color="auto"/>
                    <w:left w:val="none" w:sz="0" w:space="0" w:color="auto"/>
                    <w:bottom w:val="none" w:sz="0" w:space="0" w:color="auto"/>
                    <w:right w:val="none" w:sz="0" w:space="0" w:color="auto"/>
                  </w:divBdr>
                </w:div>
                <w:div w:id="498349894">
                  <w:marLeft w:val="0"/>
                  <w:marRight w:val="0"/>
                  <w:marTop w:val="0"/>
                  <w:marBottom w:val="0"/>
                  <w:divBdr>
                    <w:top w:val="none" w:sz="0" w:space="0" w:color="auto"/>
                    <w:left w:val="none" w:sz="0" w:space="0" w:color="auto"/>
                    <w:bottom w:val="none" w:sz="0" w:space="0" w:color="auto"/>
                    <w:right w:val="none" w:sz="0" w:space="0" w:color="auto"/>
                  </w:divBdr>
                </w:div>
                <w:div w:id="501311462">
                  <w:marLeft w:val="0"/>
                  <w:marRight w:val="0"/>
                  <w:marTop w:val="0"/>
                  <w:marBottom w:val="0"/>
                  <w:divBdr>
                    <w:top w:val="none" w:sz="0" w:space="0" w:color="auto"/>
                    <w:left w:val="none" w:sz="0" w:space="0" w:color="auto"/>
                    <w:bottom w:val="none" w:sz="0" w:space="0" w:color="auto"/>
                    <w:right w:val="none" w:sz="0" w:space="0" w:color="auto"/>
                  </w:divBdr>
                </w:div>
                <w:div w:id="503016992">
                  <w:marLeft w:val="0"/>
                  <w:marRight w:val="0"/>
                  <w:marTop w:val="0"/>
                  <w:marBottom w:val="0"/>
                  <w:divBdr>
                    <w:top w:val="none" w:sz="0" w:space="0" w:color="auto"/>
                    <w:left w:val="none" w:sz="0" w:space="0" w:color="auto"/>
                    <w:bottom w:val="none" w:sz="0" w:space="0" w:color="auto"/>
                    <w:right w:val="none" w:sz="0" w:space="0" w:color="auto"/>
                  </w:divBdr>
                </w:div>
                <w:div w:id="559902658">
                  <w:marLeft w:val="0"/>
                  <w:marRight w:val="0"/>
                  <w:marTop w:val="0"/>
                  <w:marBottom w:val="0"/>
                  <w:divBdr>
                    <w:top w:val="none" w:sz="0" w:space="0" w:color="auto"/>
                    <w:left w:val="none" w:sz="0" w:space="0" w:color="auto"/>
                    <w:bottom w:val="none" w:sz="0" w:space="0" w:color="auto"/>
                    <w:right w:val="none" w:sz="0" w:space="0" w:color="auto"/>
                  </w:divBdr>
                </w:div>
                <w:div w:id="624312926">
                  <w:marLeft w:val="0"/>
                  <w:marRight w:val="0"/>
                  <w:marTop w:val="0"/>
                  <w:marBottom w:val="0"/>
                  <w:divBdr>
                    <w:top w:val="none" w:sz="0" w:space="0" w:color="auto"/>
                    <w:left w:val="none" w:sz="0" w:space="0" w:color="auto"/>
                    <w:bottom w:val="none" w:sz="0" w:space="0" w:color="auto"/>
                    <w:right w:val="none" w:sz="0" w:space="0" w:color="auto"/>
                  </w:divBdr>
                </w:div>
                <w:div w:id="624509696">
                  <w:marLeft w:val="0"/>
                  <w:marRight w:val="0"/>
                  <w:marTop w:val="0"/>
                  <w:marBottom w:val="0"/>
                  <w:divBdr>
                    <w:top w:val="none" w:sz="0" w:space="0" w:color="auto"/>
                    <w:left w:val="none" w:sz="0" w:space="0" w:color="auto"/>
                    <w:bottom w:val="none" w:sz="0" w:space="0" w:color="auto"/>
                    <w:right w:val="none" w:sz="0" w:space="0" w:color="auto"/>
                  </w:divBdr>
                </w:div>
                <w:div w:id="724262088">
                  <w:marLeft w:val="0"/>
                  <w:marRight w:val="0"/>
                  <w:marTop w:val="0"/>
                  <w:marBottom w:val="0"/>
                  <w:divBdr>
                    <w:top w:val="none" w:sz="0" w:space="0" w:color="auto"/>
                    <w:left w:val="none" w:sz="0" w:space="0" w:color="auto"/>
                    <w:bottom w:val="none" w:sz="0" w:space="0" w:color="auto"/>
                    <w:right w:val="none" w:sz="0" w:space="0" w:color="auto"/>
                  </w:divBdr>
                </w:div>
                <w:div w:id="763109819">
                  <w:marLeft w:val="0"/>
                  <w:marRight w:val="0"/>
                  <w:marTop w:val="0"/>
                  <w:marBottom w:val="0"/>
                  <w:divBdr>
                    <w:top w:val="none" w:sz="0" w:space="0" w:color="auto"/>
                    <w:left w:val="none" w:sz="0" w:space="0" w:color="auto"/>
                    <w:bottom w:val="none" w:sz="0" w:space="0" w:color="auto"/>
                    <w:right w:val="none" w:sz="0" w:space="0" w:color="auto"/>
                  </w:divBdr>
                </w:div>
                <w:div w:id="767043087">
                  <w:marLeft w:val="0"/>
                  <w:marRight w:val="0"/>
                  <w:marTop w:val="0"/>
                  <w:marBottom w:val="0"/>
                  <w:divBdr>
                    <w:top w:val="none" w:sz="0" w:space="0" w:color="auto"/>
                    <w:left w:val="none" w:sz="0" w:space="0" w:color="auto"/>
                    <w:bottom w:val="none" w:sz="0" w:space="0" w:color="auto"/>
                    <w:right w:val="none" w:sz="0" w:space="0" w:color="auto"/>
                  </w:divBdr>
                </w:div>
                <w:div w:id="827326708">
                  <w:marLeft w:val="0"/>
                  <w:marRight w:val="0"/>
                  <w:marTop w:val="0"/>
                  <w:marBottom w:val="0"/>
                  <w:divBdr>
                    <w:top w:val="none" w:sz="0" w:space="0" w:color="auto"/>
                    <w:left w:val="none" w:sz="0" w:space="0" w:color="auto"/>
                    <w:bottom w:val="none" w:sz="0" w:space="0" w:color="auto"/>
                    <w:right w:val="none" w:sz="0" w:space="0" w:color="auto"/>
                  </w:divBdr>
                </w:div>
                <w:div w:id="878786232">
                  <w:marLeft w:val="0"/>
                  <w:marRight w:val="0"/>
                  <w:marTop w:val="0"/>
                  <w:marBottom w:val="0"/>
                  <w:divBdr>
                    <w:top w:val="none" w:sz="0" w:space="0" w:color="auto"/>
                    <w:left w:val="none" w:sz="0" w:space="0" w:color="auto"/>
                    <w:bottom w:val="none" w:sz="0" w:space="0" w:color="auto"/>
                    <w:right w:val="none" w:sz="0" w:space="0" w:color="auto"/>
                  </w:divBdr>
                </w:div>
                <w:div w:id="942221631">
                  <w:marLeft w:val="0"/>
                  <w:marRight w:val="0"/>
                  <w:marTop w:val="0"/>
                  <w:marBottom w:val="0"/>
                  <w:divBdr>
                    <w:top w:val="none" w:sz="0" w:space="0" w:color="auto"/>
                    <w:left w:val="none" w:sz="0" w:space="0" w:color="auto"/>
                    <w:bottom w:val="none" w:sz="0" w:space="0" w:color="auto"/>
                    <w:right w:val="none" w:sz="0" w:space="0" w:color="auto"/>
                  </w:divBdr>
                </w:div>
                <w:div w:id="958144653">
                  <w:marLeft w:val="0"/>
                  <w:marRight w:val="0"/>
                  <w:marTop w:val="0"/>
                  <w:marBottom w:val="0"/>
                  <w:divBdr>
                    <w:top w:val="none" w:sz="0" w:space="0" w:color="auto"/>
                    <w:left w:val="none" w:sz="0" w:space="0" w:color="auto"/>
                    <w:bottom w:val="none" w:sz="0" w:space="0" w:color="auto"/>
                    <w:right w:val="none" w:sz="0" w:space="0" w:color="auto"/>
                  </w:divBdr>
                </w:div>
                <w:div w:id="1019240607">
                  <w:marLeft w:val="0"/>
                  <w:marRight w:val="0"/>
                  <w:marTop w:val="0"/>
                  <w:marBottom w:val="0"/>
                  <w:divBdr>
                    <w:top w:val="none" w:sz="0" w:space="0" w:color="auto"/>
                    <w:left w:val="none" w:sz="0" w:space="0" w:color="auto"/>
                    <w:bottom w:val="none" w:sz="0" w:space="0" w:color="auto"/>
                    <w:right w:val="none" w:sz="0" w:space="0" w:color="auto"/>
                  </w:divBdr>
                </w:div>
                <w:div w:id="1208689233">
                  <w:marLeft w:val="0"/>
                  <w:marRight w:val="0"/>
                  <w:marTop w:val="0"/>
                  <w:marBottom w:val="0"/>
                  <w:divBdr>
                    <w:top w:val="none" w:sz="0" w:space="0" w:color="auto"/>
                    <w:left w:val="none" w:sz="0" w:space="0" w:color="auto"/>
                    <w:bottom w:val="none" w:sz="0" w:space="0" w:color="auto"/>
                    <w:right w:val="none" w:sz="0" w:space="0" w:color="auto"/>
                  </w:divBdr>
                </w:div>
                <w:div w:id="1238057256">
                  <w:marLeft w:val="0"/>
                  <w:marRight w:val="0"/>
                  <w:marTop w:val="0"/>
                  <w:marBottom w:val="0"/>
                  <w:divBdr>
                    <w:top w:val="none" w:sz="0" w:space="0" w:color="auto"/>
                    <w:left w:val="none" w:sz="0" w:space="0" w:color="auto"/>
                    <w:bottom w:val="none" w:sz="0" w:space="0" w:color="auto"/>
                    <w:right w:val="none" w:sz="0" w:space="0" w:color="auto"/>
                  </w:divBdr>
                </w:div>
                <w:div w:id="1326475474">
                  <w:marLeft w:val="0"/>
                  <w:marRight w:val="0"/>
                  <w:marTop w:val="0"/>
                  <w:marBottom w:val="0"/>
                  <w:divBdr>
                    <w:top w:val="none" w:sz="0" w:space="0" w:color="auto"/>
                    <w:left w:val="none" w:sz="0" w:space="0" w:color="auto"/>
                    <w:bottom w:val="none" w:sz="0" w:space="0" w:color="auto"/>
                    <w:right w:val="none" w:sz="0" w:space="0" w:color="auto"/>
                  </w:divBdr>
                </w:div>
                <w:div w:id="1341196098">
                  <w:marLeft w:val="0"/>
                  <w:marRight w:val="0"/>
                  <w:marTop w:val="0"/>
                  <w:marBottom w:val="0"/>
                  <w:divBdr>
                    <w:top w:val="none" w:sz="0" w:space="0" w:color="auto"/>
                    <w:left w:val="none" w:sz="0" w:space="0" w:color="auto"/>
                    <w:bottom w:val="none" w:sz="0" w:space="0" w:color="auto"/>
                    <w:right w:val="none" w:sz="0" w:space="0" w:color="auto"/>
                  </w:divBdr>
                </w:div>
                <w:div w:id="1441677621">
                  <w:marLeft w:val="0"/>
                  <w:marRight w:val="0"/>
                  <w:marTop w:val="0"/>
                  <w:marBottom w:val="0"/>
                  <w:divBdr>
                    <w:top w:val="none" w:sz="0" w:space="0" w:color="auto"/>
                    <w:left w:val="none" w:sz="0" w:space="0" w:color="auto"/>
                    <w:bottom w:val="none" w:sz="0" w:space="0" w:color="auto"/>
                    <w:right w:val="none" w:sz="0" w:space="0" w:color="auto"/>
                  </w:divBdr>
                </w:div>
                <w:div w:id="1640964057">
                  <w:marLeft w:val="0"/>
                  <w:marRight w:val="0"/>
                  <w:marTop w:val="0"/>
                  <w:marBottom w:val="0"/>
                  <w:divBdr>
                    <w:top w:val="none" w:sz="0" w:space="0" w:color="auto"/>
                    <w:left w:val="none" w:sz="0" w:space="0" w:color="auto"/>
                    <w:bottom w:val="none" w:sz="0" w:space="0" w:color="auto"/>
                    <w:right w:val="none" w:sz="0" w:space="0" w:color="auto"/>
                  </w:divBdr>
                </w:div>
                <w:div w:id="1727878461">
                  <w:marLeft w:val="0"/>
                  <w:marRight w:val="0"/>
                  <w:marTop w:val="0"/>
                  <w:marBottom w:val="0"/>
                  <w:divBdr>
                    <w:top w:val="none" w:sz="0" w:space="0" w:color="auto"/>
                    <w:left w:val="none" w:sz="0" w:space="0" w:color="auto"/>
                    <w:bottom w:val="none" w:sz="0" w:space="0" w:color="auto"/>
                    <w:right w:val="none" w:sz="0" w:space="0" w:color="auto"/>
                  </w:divBdr>
                </w:div>
                <w:div w:id="1730495709">
                  <w:marLeft w:val="0"/>
                  <w:marRight w:val="0"/>
                  <w:marTop w:val="0"/>
                  <w:marBottom w:val="0"/>
                  <w:divBdr>
                    <w:top w:val="none" w:sz="0" w:space="0" w:color="auto"/>
                    <w:left w:val="none" w:sz="0" w:space="0" w:color="auto"/>
                    <w:bottom w:val="none" w:sz="0" w:space="0" w:color="auto"/>
                    <w:right w:val="none" w:sz="0" w:space="0" w:color="auto"/>
                  </w:divBdr>
                </w:div>
                <w:div w:id="1733194967">
                  <w:marLeft w:val="0"/>
                  <w:marRight w:val="0"/>
                  <w:marTop w:val="0"/>
                  <w:marBottom w:val="0"/>
                  <w:divBdr>
                    <w:top w:val="none" w:sz="0" w:space="0" w:color="auto"/>
                    <w:left w:val="none" w:sz="0" w:space="0" w:color="auto"/>
                    <w:bottom w:val="none" w:sz="0" w:space="0" w:color="auto"/>
                    <w:right w:val="none" w:sz="0" w:space="0" w:color="auto"/>
                  </w:divBdr>
                </w:div>
                <w:div w:id="1781103046">
                  <w:marLeft w:val="0"/>
                  <w:marRight w:val="0"/>
                  <w:marTop w:val="0"/>
                  <w:marBottom w:val="0"/>
                  <w:divBdr>
                    <w:top w:val="none" w:sz="0" w:space="0" w:color="auto"/>
                    <w:left w:val="none" w:sz="0" w:space="0" w:color="auto"/>
                    <w:bottom w:val="none" w:sz="0" w:space="0" w:color="auto"/>
                    <w:right w:val="none" w:sz="0" w:space="0" w:color="auto"/>
                  </w:divBdr>
                </w:div>
                <w:div w:id="1798447440">
                  <w:marLeft w:val="0"/>
                  <w:marRight w:val="0"/>
                  <w:marTop w:val="0"/>
                  <w:marBottom w:val="0"/>
                  <w:divBdr>
                    <w:top w:val="none" w:sz="0" w:space="0" w:color="auto"/>
                    <w:left w:val="none" w:sz="0" w:space="0" w:color="auto"/>
                    <w:bottom w:val="none" w:sz="0" w:space="0" w:color="auto"/>
                    <w:right w:val="none" w:sz="0" w:space="0" w:color="auto"/>
                  </w:divBdr>
                </w:div>
                <w:div w:id="1816068628">
                  <w:marLeft w:val="0"/>
                  <w:marRight w:val="0"/>
                  <w:marTop w:val="0"/>
                  <w:marBottom w:val="0"/>
                  <w:divBdr>
                    <w:top w:val="none" w:sz="0" w:space="0" w:color="auto"/>
                    <w:left w:val="none" w:sz="0" w:space="0" w:color="auto"/>
                    <w:bottom w:val="none" w:sz="0" w:space="0" w:color="auto"/>
                    <w:right w:val="none" w:sz="0" w:space="0" w:color="auto"/>
                  </w:divBdr>
                </w:div>
                <w:div w:id="1848980725">
                  <w:marLeft w:val="0"/>
                  <w:marRight w:val="0"/>
                  <w:marTop w:val="0"/>
                  <w:marBottom w:val="0"/>
                  <w:divBdr>
                    <w:top w:val="none" w:sz="0" w:space="0" w:color="auto"/>
                    <w:left w:val="none" w:sz="0" w:space="0" w:color="auto"/>
                    <w:bottom w:val="none" w:sz="0" w:space="0" w:color="auto"/>
                    <w:right w:val="none" w:sz="0" w:space="0" w:color="auto"/>
                  </w:divBdr>
                </w:div>
                <w:div w:id="1883711989">
                  <w:marLeft w:val="0"/>
                  <w:marRight w:val="0"/>
                  <w:marTop w:val="0"/>
                  <w:marBottom w:val="0"/>
                  <w:divBdr>
                    <w:top w:val="none" w:sz="0" w:space="0" w:color="auto"/>
                    <w:left w:val="none" w:sz="0" w:space="0" w:color="auto"/>
                    <w:bottom w:val="none" w:sz="0" w:space="0" w:color="auto"/>
                    <w:right w:val="none" w:sz="0" w:space="0" w:color="auto"/>
                  </w:divBdr>
                </w:div>
                <w:div w:id="2024473760">
                  <w:marLeft w:val="0"/>
                  <w:marRight w:val="0"/>
                  <w:marTop w:val="0"/>
                  <w:marBottom w:val="0"/>
                  <w:divBdr>
                    <w:top w:val="none" w:sz="0" w:space="0" w:color="auto"/>
                    <w:left w:val="none" w:sz="0" w:space="0" w:color="auto"/>
                    <w:bottom w:val="none" w:sz="0" w:space="0" w:color="auto"/>
                    <w:right w:val="none" w:sz="0" w:space="0" w:color="auto"/>
                  </w:divBdr>
                </w:div>
                <w:div w:id="21093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4406">
          <w:marLeft w:val="0"/>
          <w:marRight w:val="0"/>
          <w:marTop w:val="0"/>
          <w:marBottom w:val="0"/>
          <w:divBdr>
            <w:top w:val="none" w:sz="0" w:space="0" w:color="auto"/>
            <w:left w:val="none" w:sz="0" w:space="0" w:color="auto"/>
            <w:bottom w:val="none" w:sz="0" w:space="0" w:color="auto"/>
            <w:right w:val="none" w:sz="0" w:space="0" w:color="auto"/>
          </w:divBdr>
          <w:divsChild>
            <w:div w:id="1622152530">
              <w:marLeft w:val="0"/>
              <w:marRight w:val="0"/>
              <w:marTop w:val="0"/>
              <w:marBottom w:val="0"/>
              <w:divBdr>
                <w:top w:val="none" w:sz="0" w:space="0" w:color="auto"/>
                <w:left w:val="none" w:sz="0" w:space="0" w:color="auto"/>
                <w:bottom w:val="none" w:sz="0" w:space="0" w:color="auto"/>
                <w:right w:val="none" w:sz="0" w:space="0" w:color="auto"/>
              </w:divBdr>
              <w:divsChild>
                <w:div w:id="27919541">
                  <w:marLeft w:val="0"/>
                  <w:marRight w:val="0"/>
                  <w:marTop w:val="0"/>
                  <w:marBottom w:val="0"/>
                  <w:divBdr>
                    <w:top w:val="none" w:sz="0" w:space="0" w:color="auto"/>
                    <w:left w:val="none" w:sz="0" w:space="0" w:color="auto"/>
                    <w:bottom w:val="none" w:sz="0" w:space="0" w:color="auto"/>
                    <w:right w:val="none" w:sz="0" w:space="0" w:color="auto"/>
                  </w:divBdr>
                </w:div>
                <w:div w:id="45185112">
                  <w:marLeft w:val="0"/>
                  <w:marRight w:val="0"/>
                  <w:marTop w:val="0"/>
                  <w:marBottom w:val="0"/>
                  <w:divBdr>
                    <w:top w:val="none" w:sz="0" w:space="0" w:color="auto"/>
                    <w:left w:val="none" w:sz="0" w:space="0" w:color="auto"/>
                    <w:bottom w:val="none" w:sz="0" w:space="0" w:color="auto"/>
                    <w:right w:val="none" w:sz="0" w:space="0" w:color="auto"/>
                  </w:divBdr>
                </w:div>
                <w:div w:id="68162194">
                  <w:marLeft w:val="0"/>
                  <w:marRight w:val="0"/>
                  <w:marTop w:val="0"/>
                  <w:marBottom w:val="0"/>
                  <w:divBdr>
                    <w:top w:val="none" w:sz="0" w:space="0" w:color="auto"/>
                    <w:left w:val="none" w:sz="0" w:space="0" w:color="auto"/>
                    <w:bottom w:val="none" w:sz="0" w:space="0" w:color="auto"/>
                    <w:right w:val="none" w:sz="0" w:space="0" w:color="auto"/>
                  </w:divBdr>
                </w:div>
                <w:div w:id="79062990">
                  <w:marLeft w:val="0"/>
                  <w:marRight w:val="0"/>
                  <w:marTop w:val="0"/>
                  <w:marBottom w:val="0"/>
                  <w:divBdr>
                    <w:top w:val="none" w:sz="0" w:space="0" w:color="auto"/>
                    <w:left w:val="none" w:sz="0" w:space="0" w:color="auto"/>
                    <w:bottom w:val="none" w:sz="0" w:space="0" w:color="auto"/>
                    <w:right w:val="none" w:sz="0" w:space="0" w:color="auto"/>
                  </w:divBdr>
                </w:div>
                <w:div w:id="81534368">
                  <w:marLeft w:val="0"/>
                  <w:marRight w:val="0"/>
                  <w:marTop w:val="0"/>
                  <w:marBottom w:val="0"/>
                  <w:divBdr>
                    <w:top w:val="none" w:sz="0" w:space="0" w:color="auto"/>
                    <w:left w:val="none" w:sz="0" w:space="0" w:color="auto"/>
                    <w:bottom w:val="none" w:sz="0" w:space="0" w:color="auto"/>
                    <w:right w:val="none" w:sz="0" w:space="0" w:color="auto"/>
                  </w:divBdr>
                </w:div>
                <w:div w:id="85228358">
                  <w:marLeft w:val="0"/>
                  <w:marRight w:val="0"/>
                  <w:marTop w:val="0"/>
                  <w:marBottom w:val="0"/>
                  <w:divBdr>
                    <w:top w:val="none" w:sz="0" w:space="0" w:color="auto"/>
                    <w:left w:val="none" w:sz="0" w:space="0" w:color="auto"/>
                    <w:bottom w:val="none" w:sz="0" w:space="0" w:color="auto"/>
                    <w:right w:val="none" w:sz="0" w:space="0" w:color="auto"/>
                  </w:divBdr>
                </w:div>
                <w:div w:id="96482484">
                  <w:marLeft w:val="0"/>
                  <w:marRight w:val="0"/>
                  <w:marTop w:val="0"/>
                  <w:marBottom w:val="0"/>
                  <w:divBdr>
                    <w:top w:val="none" w:sz="0" w:space="0" w:color="auto"/>
                    <w:left w:val="none" w:sz="0" w:space="0" w:color="auto"/>
                    <w:bottom w:val="none" w:sz="0" w:space="0" w:color="auto"/>
                    <w:right w:val="none" w:sz="0" w:space="0" w:color="auto"/>
                  </w:divBdr>
                </w:div>
                <w:div w:id="115953662">
                  <w:marLeft w:val="0"/>
                  <w:marRight w:val="0"/>
                  <w:marTop w:val="0"/>
                  <w:marBottom w:val="0"/>
                  <w:divBdr>
                    <w:top w:val="none" w:sz="0" w:space="0" w:color="auto"/>
                    <w:left w:val="none" w:sz="0" w:space="0" w:color="auto"/>
                    <w:bottom w:val="none" w:sz="0" w:space="0" w:color="auto"/>
                    <w:right w:val="none" w:sz="0" w:space="0" w:color="auto"/>
                  </w:divBdr>
                </w:div>
                <w:div w:id="116996437">
                  <w:marLeft w:val="0"/>
                  <w:marRight w:val="0"/>
                  <w:marTop w:val="0"/>
                  <w:marBottom w:val="0"/>
                  <w:divBdr>
                    <w:top w:val="none" w:sz="0" w:space="0" w:color="auto"/>
                    <w:left w:val="none" w:sz="0" w:space="0" w:color="auto"/>
                    <w:bottom w:val="none" w:sz="0" w:space="0" w:color="auto"/>
                    <w:right w:val="none" w:sz="0" w:space="0" w:color="auto"/>
                  </w:divBdr>
                </w:div>
                <w:div w:id="119149259">
                  <w:marLeft w:val="0"/>
                  <w:marRight w:val="0"/>
                  <w:marTop w:val="0"/>
                  <w:marBottom w:val="0"/>
                  <w:divBdr>
                    <w:top w:val="none" w:sz="0" w:space="0" w:color="auto"/>
                    <w:left w:val="none" w:sz="0" w:space="0" w:color="auto"/>
                    <w:bottom w:val="none" w:sz="0" w:space="0" w:color="auto"/>
                    <w:right w:val="none" w:sz="0" w:space="0" w:color="auto"/>
                  </w:divBdr>
                </w:div>
                <w:div w:id="119350205">
                  <w:marLeft w:val="0"/>
                  <w:marRight w:val="0"/>
                  <w:marTop w:val="0"/>
                  <w:marBottom w:val="0"/>
                  <w:divBdr>
                    <w:top w:val="none" w:sz="0" w:space="0" w:color="auto"/>
                    <w:left w:val="none" w:sz="0" w:space="0" w:color="auto"/>
                    <w:bottom w:val="none" w:sz="0" w:space="0" w:color="auto"/>
                    <w:right w:val="none" w:sz="0" w:space="0" w:color="auto"/>
                  </w:divBdr>
                </w:div>
                <w:div w:id="208614162">
                  <w:marLeft w:val="0"/>
                  <w:marRight w:val="0"/>
                  <w:marTop w:val="0"/>
                  <w:marBottom w:val="0"/>
                  <w:divBdr>
                    <w:top w:val="none" w:sz="0" w:space="0" w:color="auto"/>
                    <w:left w:val="none" w:sz="0" w:space="0" w:color="auto"/>
                    <w:bottom w:val="none" w:sz="0" w:space="0" w:color="auto"/>
                    <w:right w:val="none" w:sz="0" w:space="0" w:color="auto"/>
                  </w:divBdr>
                </w:div>
                <w:div w:id="237911997">
                  <w:marLeft w:val="0"/>
                  <w:marRight w:val="0"/>
                  <w:marTop w:val="0"/>
                  <w:marBottom w:val="0"/>
                  <w:divBdr>
                    <w:top w:val="none" w:sz="0" w:space="0" w:color="auto"/>
                    <w:left w:val="none" w:sz="0" w:space="0" w:color="auto"/>
                    <w:bottom w:val="none" w:sz="0" w:space="0" w:color="auto"/>
                    <w:right w:val="none" w:sz="0" w:space="0" w:color="auto"/>
                  </w:divBdr>
                </w:div>
                <w:div w:id="239797758">
                  <w:marLeft w:val="0"/>
                  <w:marRight w:val="0"/>
                  <w:marTop w:val="0"/>
                  <w:marBottom w:val="0"/>
                  <w:divBdr>
                    <w:top w:val="none" w:sz="0" w:space="0" w:color="auto"/>
                    <w:left w:val="none" w:sz="0" w:space="0" w:color="auto"/>
                    <w:bottom w:val="none" w:sz="0" w:space="0" w:color="auto"/>
                    <w:right w:val="none" w:sz="0" w:space="0" w:color="auto"/>
                  </w:divBdr>
                </w:div>
                <w:div w:id="279577123">
                  <w:marLeft w:val="0"/>
                  <w:marRight w:val="0"/>
                  <w:marTop w:val="0"/>
                  <w:marBottom w:val="0"/>
                  <w:divBdr>
                    <w:top w:val="none" w:sz="0" w:space="0" w:color="auto"/>
                    <w:left w:val="none" w:sz="0" w:space="0" w:color="auto"/>
                    <w:bottom w:val="none" w:sz="0" w:space="0" w:color="auto"/>
                    <w:right w:val="none" w:sz="0" w:space="0" w:color="auto"/>
                  </w:divBdr>
                </w:div>
                <w:div w:id="318266499">
                  <w:marLeft w:val="0"/>
                  <w:marRight w:val="0"/>
                  <w:marTop w:val="0"/>
                  <w:marBottom w:val="0"/>
                  <w:divBdr>
                    <w:top w:val="none" w:sz="0" w:space="0" w:color="auto"/>
                    <w:left w:val="none" w:sz="0" w:space="0" w:color="auto"/>
                    <w:bottom w:val="none" w:sz="0" w:space="0" w:color="auto"/>
                    <w:right w:val="none" w:sz="0" w:space="0" w:color="auto"/>
                  </w:divBdr>
                </w:div>
                <w:div w:id="344602015">
                  <w:marLeft w:val="0"/>
                  <w:marRight w:val="0"/>
                  <w:marTop w:val="0"/>
                  <w:marBottom w:val="0"/>
                  <w:divBdr>
                    <w:top w:val="none" w:sz="0" w:space="0" w:color="auto"/>
                    <w:left w:val="none" w:sz="0" w:space="0" w:color="auto"/>
                    <w:bottom w:val="none" w:sz="0" w:space="0" w:color="auto"/>
                    <w:right w:val="none" w:sz="0" w:space="0" w:color="auto"/>
                  </w:divBdr>
                </w:div>
                <w:div w:id="373428485">
                  <w:marLeft w:val="0"/>
                  <w:marRight w:val="0"/>
                  <w:marTop w:val="0"/>
                  <w:marBottom w:val="0"/>
                  <w:divBdr>
                    <w:top w:val="none" w:sz="0" w:space="0" w:color="auto"/>
                    <w:left w:val="none" w:sz="0" w:space="0" w:color="auto"/>
                    <w:bottom w:val="none" w:sz="0" w:space="0" w:color="auto"/>
                    <w:right w:val="none" w:sz="0" w:space="0" w:color="auto"/>
                  </w:divBdr>
                </w:div>
                <w:div w:id="402214705">
                  <w:marLeft w:val="0"/>
                  <w:marRight w:val="0"/>
                  <w:marTop w:val="0"/>
                  <w:marBottom w:val="0"/>
                  <w:divBdr>
                    <w:top w:val="none" w:sz="0" w:space="0" w:color="auto"/>
                    <w:left w:val="none" w:sz="0" w:space="0" w:color="auto"/>
                    <w:bottom w:val="none" w:sz="0" w:space="0" w:color="auto"/>
                    <w:right w:val="none" w:sz="0" w:space="0" w:color="auto"/>
                  </w:divBdr>
                </w:div>
                <w:div w:id="419259944">
                  <w:marLeft w:val="0"/>
                  <w:marRight w:val="0"/>
                  <w:marTop w:val="0"/>
                  <w:marBottom w:val="0"/>
                  <w:divBdr>
                    <w:top w:val="none" w:sz="0" w:space="0" w:color="auto"/>
                    <w:left w:val="none" w:sz="0" w:space="0" w:color="auto"/>
                    <w:bottom w:val="none" w:sz="0" w:space="0" w:color="auto"/>
                    <w:right w:val="none" w:sz="0" w:space="0" w:color="auto"/>
                  </w:divBdr>
                </w:div>
                <w:div w:id="470441266">
                  <w:marLeft w:val="0"/>
                  <w:marRight w:val="0"/>
                  <w:marTop w:val="0"/>
                  <w:marBottom w:val="0"/>
                  <w:divBdr>
                    <w:top w:val="none" w:sz="0" w:space="0" w:color="auto"/>
                    <w:left w:val="none" w:sz="0" w:space="0" w:color="auto"/>
                    <w:bottom w:val="none" w:sz="0" w:space="0" w:color="auto"/>
                    <w:right w:val="none" w:sz="0" w:space="0" w:color="auto"/>
                  </w:divBdr>
                </w:div>
                <w:div w:id="486284082">
                  <w:marLeft w:val="0"/>
                  <w:marRight w:val="0"/>
                  <w:marTop w:val="0"/>
                  <w:marBottom w:val="0"/>
                  <w:divBdr>
                    <w:top w:val="none" w:sz="0" w:space="0" w:color="auto"/>
                    <w:left w:val="none" w:sz="0" w:space="0" w:color="auto"/>
                    <w:bottom w:val="none" w:sz="0" w:space="0" w:color="auto"/>
                    <w:right w:val="none" w:sz="0" w:space="0" w:color="auto"/>
                  </w:divBdr>
                </w:div>
                <w:div w:id="487327807">
                  <w:marLeft w:val="0"/>
                  <w:marRight w:val="0"/>
                  <w:marTop w:val="0"/>
                  <w:marBottom w:val="0"/>
                  <w:divBdr>
                    <w:top w:val="none" w:sz="0" w:space="0" w:color="auto"/>
                    <w:left w:val="none" w:sz="0" w:space="0" w:color="auto"/>
                    <w:bottom w:val="none" w:sz="0" w:space="0" w:color="auto"/>
                    <w:right w:val="none" w:sz="0" w:space="0" w:color="auto"/>
                  </w:divBdr>
                </w:div>
                <w:div w:id="588347187">
                  <w:marLeft w:val="0"/>
                  <w:marRight w:val="0"/>
                  <w:marTop w:val="0"/>
                  <w:marBottom w:val="0"/>
                  <w:divBdr>
                    <w:top w:val="none" w:sz="0" w:space="0" w:color="auto"/>
                    <w:left w:val="none" w:sz="0" w:space="0" w:color="auto"/>
                    <w:bottom w:val="none" w:sz="0" w:space="0" w:color="auto"/>
                    <w:right w:val="none" w:sz="0" w:space="0" w:color="auto"/>
                  </w:divBdr>
                </w:div>
                <w:div w:id="595601098">
                  <w:marLeft w:val="0"/>
                  <w:marRight w:val="0"/>
                  <w:marTop w:val="0"/>
                  <w:marBottom w:val="0"/>
                  <w:divBdr>
                    <w:top w:val="none" w:sz="0" w:space="0" w:color="auto"/>
                    <w:left w:val="none" w:sz="0" w:space="0" w:color="auto"/>
                    <w:bottom w:val="none" w:sz="0" w:space="0" w:color="auto"/>
                    <w:right w:val="none" w:sz="0" w:space="0" w:color="auto"/>
                  </w:divBdr>
                </w:div>
                <w:div w:id="629897110">
                  <w:marLeft w:val="0"/>
                  <w:marRight w:val="0"/>
                  <w:marTop w:val="0"/>
                  <w:marBottom w:val="0"/>
                  <w:divBdr>
                    <w:top w:val="none" w:sz="0" w:space="0" w:color="auto"/>
                    <w:left w:val="none" w:sz="0" w:space="0" w:color="auto"/>
                    <w:bottom w:val="none" w:sz="0" w:space="0" w:color="auto"/>
                    <w:right w:val="none" w:sz="0" w:space="0" w:color="auto"/>
                  </w:divBdr>
                </w:div>
                <w:div w:id="652026332">
                  <w:marLeft w:val="0"/>
                  <w:marRight w:val="0"/>
                  <w:marTop w:val="0"/>
                  <w:marBottom w:val="0"/>
                  <w:divBdr>
                    <w:top w:val="none" w:sz="0" w:space="0" w:color="auto"/>
                    <w:left w:val="none" w:sz="0" w:space="0" w:color="auto"/>
                    <w:bottom w:val="none" w:sz="0" w:space="0" w:color="auto"/>
                    <w:right w:val="none" w:sz="0" w:space="0" w:color="auto"/>
                  </w:divBdr>
                </w:div>
                <w:div w:id="667631276">
                  <w:marLeft w:val="0"/>
                  <w:marRight w:val="0"/>
                  <w:marTop w:val="0"/>
                  <w:marBottom w:val="0"/>
                  <w:divBdr>
                    <w:top w:val="none" w:sz="0" w:space="0" w:color="auto"/>
                    <w:left w:val="none" w:sz="0" w:space="0" w:color="auto"/>
                    <w:bottom w:val="none" w:sz="0" w:space="0" w:color="auto"/>
                    <w:right w:val="none" w:sz="0" w:space="0" w:color="auto"/>
                  </w:divBdr>
                </w:div>
                <w:div w:id="675763622">
                  <w:marLeft w:val="0"/>
                  <w:marRight w:val="0"/>
                  <w:marTop w:val="0"/>
                  <w:marBottom w:val="0"/>
                  <w:divBdr>
                    <w:top w:val="none" w:sz="0" w:space="0" w:color="auto"/>
                    <w:left w:val="none" w:sz="0" w:space="0" w:color="auto"/>
                    <w:bottom w:val="none" w:sz="0" w:space="0" w:color="auto"/>
                    <w:right w:val="none" w:sz="0" w:space="0" w:color="auto"/>
                  </w:divBdr>
                </w:div>
                <w:div w:id="682508936">
                  <w:marLeft w:val="0"/>
                  <w:marRight w:val="0"/>
                  <w:marTop w:val="0"/>
                  <w:marBottom w:val="0"/>
                  <w:divBdr>
                    <w:top w:val="none" w:sz="0" w:space="0" w:color="auto"/>
                    <w:left w:val="none" w:sz="0" w:space="0" w:color="auto"/>
                    <w:bottom w:val="none" w:sz="0" w:space="0" w:color="auto"/>
                    <w:right w:val="none" w:sz="0" w:space="0" w:color="auto"/>
                  </w:divBdr>
                </w:div>
                <w:div w:id="698775687">
                  <w:marLeft w:val="0"/>
                  <w:marRight w:val="0"/>
                  <w:marTop w:val="0"/>
                  <w:marBottom w:val="0"/>
                  <w:divBdr>
                    <w:top w:val="none" w:sz="0" w:space="0" w:color="auto"/>
                    <w:left w:val="none" w:sz="0" w:space="0" w:color="auto"/>
                    <w:bottom w:val="none" w:sz="0" w:space="0" w:color="auto"/>
                    <w:right w:val="none" w:sz="0" w:space="0" w:color="auto"/>
                  </w:divBdr>
                </w:div>
                <w:div w:id="714699294">
                  <w:marLeft w:val="0"/>
                  <w:marRight w:val="0"/>
                  <w:marTop w:val="0"/>
                  <w:marBottom w:val="0"/>
                  <w:divBdr>
                    <w:top w:val="none" w:sz="0" w:space="0" w:color="auto"/>
                    <w:left w:val="none" w:sz="0" w:space="0" w:color="auto"/>
                    <w:bottom w:val="none" w:sz="0" w:space="0" w:color="auto"/>
                    <w:right w:val="none" w:sz="0" w:space="0" w:color="auto"/>
                  </w:divBdr>
                </w:div>
                <w:div w:id="728455643">
                  <w:marLeft w:val="0"/>
                  <w:marRight w:val="0"/>
                  <w:marTop w:val="0"/>
                  <w:marBottom w:val="0"/>
                  <w:divBdr>
                    <w:top w:val="none" w:sz="0" w:space="0" w:color="auto"/>
                    <w:left w:val="none" w:sz="0" w:space="0" w:color="auto"/>
                    <w:bottom w:val="none" w:sz="0" w:space="0" w:color="auto"/>
                    <w:right w:val="none" w:sz="0" w:space="0" w:color="auto"/>
                  </w:divBdr>
                </w:div>
                <w:div w:id="729959498">
                  <w:marLeft w:val="0"/>
                  <w:marRight w:val="0"/>
                  <w:marTop w:val="0"/>
                  <w:marBottom w:val="0"/>
                  <w:divBdr>
                    <w:top w:val="none" w:sz="0" w:space="0" w:color="auto"/>
                    <w:left w:val="none" w:sz="0" w:space="0" w:color="auto"/>
                    <w:bottom w:val="none" w:sz="0" w:space="0" w:color="auto"/>
                    <w:right w:val="none" w:sz="0" w:space="0" w:color="auto"/>
                  </w:divBdr>
                </w:div>
                <w:div w:id="747579966">
                  <w:marLeft w:val="0"/>
                  <w:marRight w:val="0"/>
                  <w:marTop w:val="0"/>
                  <w:marBottom w:val="0"/>
                  <w:divBdr>
                    <w:top w:val="none" w:sz="0" w:space="0" w:color="auto"/>
                    <w:left w:val="none" w:sz="0" w:space="0" w:color="auto"/>
                    <w:bottom w:val="none" w:sz="0" w:space="0" w:color="auto"/>
                    <w:right w:val="none" w:sz="0" w:space="0" w:color="auto"/>
                  </w:divBdr>
                </w:div>
                <w:div w:id="780537115">
                  <w:marLeft w:val="0"/>
                  <w:marRight w:val="0"/>
                  <w:marTop w:val="0"/>
                  <w:marBottom w:val="0"/>
                  <w:divBdr>
                    <w:top w:val="none" w:sz="0" w:space="0" w:color="auto"/>
                    <w:left w:val="none" w:sz="0" w:space="0" w:color="auto"/>
                    <w:bottom w:val="none" w:sz="0" w:space="0" w:color="auto"/>
                    <w:right w:val="none" w:sz="0" w:space="0" w:color="auto"/>
                  </w:divBdr>
                </w:div>
                <w:div w:id="785386151">
                  <w:marLeft w:val="0"/>
                  <w:marRight w:val="0"/>
                  <w:marTop w:val="0"/>
                  <w:marBottom w:val="0"/>
                  <w:divBdr>
                    <w:top w:val="none" w:sz="0" w:space="0" w:color="auto"/>
                    <w:left w:val="none" w:sz="0" w:space="0" w:color="auto"/>
                    <w:bottom w:val="none" w:sz="0" w:space="0" w:color="auto"/>
                    <w:right w:val="none" w:sz="0" w:space="0" w:color="auto"/>
                  </w:divBdr>
                </w:div>
                <w:div w:id="804587513">
                  <w:marLeft w:val="0"/>
                  <w:marRight w:val="0"/>
                  <w:marTop w:val="0"/>
                  <w:marBottom w:val="0"/>
                  <w:divBdr>
                    <w:top w:val="none" w:sz="0" w:space="0" w:color="auto"/>
                    <w:left w:val="none" w:sz="0" w:space="0" w:color="auto"/>
                    <w:bottom w:val="none" w:sz="0" w:space="0" w:color="auto"/>
                    <w:right w:val="none" w:sz="0" w:space="0" w:color="auto"/>
                  </w:divBdr>
                </w:div>
                <w:div w:id="811481668">
                  <w:marLeft w:val="0"/>
                  <w:marRight w:val="0"/>
                  <w:marTop w:val="0"/>
                  <w:marBottom w:val="0"/>
                  <w:divBdr>
                    <w:top w:val="none" w:sz="0" w:space="0" w:color="auto"/>
                    <w:left w:val="none" w:sz="0" w:space="0" w:color="auto"/>
                    <w:bottom w:val="none" w:sz="0" w:space="0" w:color="auto"/>
                    <w:right w:val="none" w:sz="0" w:space="0" w:color="auto"/>
                  </w:divBdr>
                </w:div>
                <w:div w:id="821697842">
                  <w:marLeft w:val="0"/>
                  <w:marRight w:val="0"/>
                  <w:marTop w:val="0"/>
                  <w:marBottom w:val="0"/>
                  <w:divBdr>
                    <w:top w:val="none" w:sz="0" w:space="0" w:color="auto"/>
                    <w:left w:val="none" w:sz="0" w:space="0" w:color="auto"/>
                    <w:bottom w:val="none" w:sz="0" w:space="0" w:color="auto"/>
                    <w:right w:val="none" w:sz="0" w:space="0" w:color="auto"/>
                  </w:divBdr>
                </w:div>
                <w:div w:id="938027452">
                  <w:marLeft w:val="0"/>
                  <w:marRight w:val="0"/>
                  <w:marTop w:val="0"/>
                  <w:marBottom w:val="0"/>
                  <w:divBdr>
                    <w:top w:val="none" w:sz="0" w:space="0" w:color="auto"/>
                    <w:left w:val="none" w:sz="0" w:space="0" w:color="auto"/>
                    <w:bottom w:val="none" w:sz="0" w:space="0" w:color="auto"/>
                    <w:right w:val="none" w:sz="0" w:space="0" w:color="auto"/>
                  </w:divBdr>
                </w:div>
                <w:div w:id="947539988">
                  <w:marLeft w:val="0"/>
                  <w:marRight w:val="0"/>
                  <w:marTop w:val="0"/>
                  <w:marBottom w:val="0"/>
                  <w:divBdr>
                    <w:top w:val="none" w:sz="0" w:space="0" w:color="auto"/>
                    <w:left w:val="none" w:sz="0" w:space="0" w:color="auto"/>
                    <w:bottom w:val="none" w:sz="0" w:space="0" w:color="auto"/>
                    <w:right w:val="none" w:sz="0" w:space="0" w:color="auto"/>
                  </w:divBdr>
                </w:div>
                <w:div w:id="1042825206">
                  <w:marLeft w:val="0"/>
                  <w:marRight w:val="0"/>
                  <w:marTop w:val="0"/>
                  <w:marBottom w:val="0"/>
                  <w:divBdr>
                    <w:top w:val="none" w:sz="0" w:space="0" w:color="auto"/>
                    <w:left w:val="none" w:sz="0" w:space="0" w:color="auto"/>
                    <w:bottom w:val="none" w:sz="0" w:space="0" w:color="auto"/>
                    <w:right w:val="none" w:sz="0" w:space="0" w:color="auto"/>
                  </w:divBdr>
                </w:div>
                <w:div w:id="1043792283">
                  <w:marLeft w:val="0"/>
                  <w:marRight w:val="0"/>
                  <w:marTop w:val="0"/>
                  <w:marBottom w:val="0"/>
                  <w:divBdr>
                    <w:top w:val="none" w:sz="0" w:space="0" w:color="auto"/>
                    <w:left w:val="none" w:sz="0" w:space="0" w:color="auto"/>
                    <w:bottom w:val="none" w:sz="0" w:space="0" w:color="auto"/>
                    <w:right w:val="none" w:sz="0" w:space="0" w:color="auto"/>
                  </w:divBdr>
                </w:div>
                <w:div w:id="1050689148">
                  <w:marLeft w:val="0"/>
                  <w:marRight w:val="0"/>
                  <w:marTop w:val="0"/>
                  <w:marBottom w:val="0"/>
                  <w:divBdr>
                    <w:top w:val="none" w:sz="0" w:space="0" w:color="auto"/>
                    <w:left w:val="none" w:sz="0" w:space="0" w:color="auto"/>
                    <w:bottom w:val="none" w:sz="0" w:space="0" w:color="auto"/>
                    <w:right w:val="none" w:sz="0" w:space="0" w:color="auto"/>
                  </w:divBdr>
                </w:div>
                <w:div w:id="1085109384">
                  <w:marLeft w:val="0"/>
                  <w:marRight w:val="0"/>
                  <w:marTop w:val="0"/>
                  <w:marBottom w:val="0"/>
                  <w:divBdr>
                    <w:top w:val="none" w:sz="0" w:space="0" w:color="auto"/>
                    <w:left w:val="none" w:sz="0" w:space="0" w:color="auto"/>
                    <w:bottom w:val="none" w:sz="0" w:space="0" w:color="auto"/>
                    <w:right w:val="none" w:sz="0" w:space="0" w:color="auto"/>
                  </w:divBdr>
                </w:div>
                <w:div w:id="1090201632">
                  <w:marLeft w:val="0"/>
                  <w:marRight w:val="0"/>
                  <w:marTop w:val="0"/>
                  <w:marBottom w:val="0"/>
                  <w:divBdr>
                    <w:top w:val="none" w:sz="0" w:space="0" w:color="auto"/>
                    <w:left w:val="none" w:sz="0" w:space="0" w:color="auto"/>
                    <w:bottom w:val="none" w:sz="0" w:space="0" w:color="auto"/>
                    <w:right w:val="none" w:sz="0" w:space="0" w:color="auto"/>
                  </w:divBdr>
                </w:div>
                <w:div w:id="1203635441">
                  <w:marLeft w:val="0"/>
                  <w:marRight w:val="0"/>
                  <w:marTop w:val="0"/>
                  <w:marBottom w:val="0"/>
                  <w:divBdr>
                    <w:top w:val="none" w:sz="0" w:space="0" w:color="auto"/>
                    <w:left w:val="none" w:sz="0" w:space="0" w:color="auto"/>
                    <w:bottom w:val="none" w:sz="0" w:space="0" w:color="auto"/>
                    <w:right w:val="none" w:sz="0" w:space="0" w:color="auto"/>
                  </w:divBdr>
                </w:div>
                <w:div w:id="1218542207">
                  <w:marLeft w:val="0"/>
                  <w:marRight w:val="0"/>
                  <w:marTop w:val="0"/>
                  <w:marBottom w:val="0"/>
                  <w:divBdr>
                    <w:top w:val="none" w:sz="0" w:space="0" w:color="auto"/>
                    <w:left w:val="none" w:sz="0" w:space="0" w:color="auto"/>
                    <w:bottom w:val="none" w:sz="0" w:space="0" w:color="auto"/>
                    <w:right w:val="none" w:sz="0" w:space="0" w:color="auto"/>
                  </w:divBdr>
                </w:div>
                <w:div w:id="1257054904">
                  <w:marLeft w:val="0"/>
                  <w:marRight w:val="0"/>
                  <w:marTop w:val="0"/>
                  <w:marBottom w:val="0"/>
                  <w:divBdr>
                    <w:top w:val="none" w:sz="0" w:space="0" w:color="auto"/>
                    <w:left w:val="none" w:sz="0" w:space="0" w:color="auto"/>
                    <w:bottom w:val="none" w:sz="0" w:space="0" w:color="auto"/>
                    <w:right w:val="none" w:sz="0" w:space="0" w:color="auto"/>
                  </w:divBdr>
                </w:div>
                <w:div w:id="1260793879">
                  <w:marLeft w:val="0"/>
                  <w:marRight w:val="0"/>
                  <w:marTop w:val="0"/>
                  <w:marBottom w:val="0"/>
                  <w:divBdr>
                    <w:top w:val="none" w:sz="0" w:space="0" w:color="auto"/>
                    <w:left w:val="none" w:sz="0" w:space="0" w:color="auto"/>
                    <w:bottom w:val="none" w:sz="0" w:space="0" w:color="auto"/>
                    <w:right w:val="none" w:sz="0" w:space="0" w:color="auto"/>
                  </w:divBdr>
                </w:div>
                <w:div w:id="1328560424">
                  <w:marLeft w:val="0"/>
                  <w:marRight w:val="0"/>
                  <w:marTop w:val="0"/>
                  <w:marBottom w:val="0"/>
                  <w:divBdr>
                    <w:top w:val="none" w:sz="0" w:space="0" w:color="auto"/>
                    <w:left w:val="none" w:sz="0" w:space="0" w:color="auto"/>
                    <w:bottom w:val="none" w:sz="0" w:space="0" w:color="auto"/>
                    <w:right w:val="none" w:sz="0" w:space="0" w:color="auto"/>
                  </w:divBdr>
                </w:div>
                <w:div w:id="1354841587">
                  <w:marLeft w:val="0"/>
                  <w:marRight w:val="0"/>
                  <w:marTop w:val="0"/>
                  <w:marBottom w:val="0"/>
                  <w:divBdr>
                    <w:top w:val="none" w:sz="0" w:space="0" w:color="auto"/>
                    <w:left w:val="none" w:sz="0" w:space="0" w:color="auto"/>
                    <w:bottom w:val="none" w:sz="0" w:space="0" w:color="auto"/>
                    <w:right w:val="none" w:sz="0" w:space="0" w:color="auto"/>
                  </w:divBdr>
                </w:div>
                <w:div w:id="1355309426">
                  <w:marLeft w:val="0"/>
                  <w:marRight w:val="0"/>
                  <w:marTop w:val="0"/>
                  <w:marBottom w:val="0"/>
                  <w:divBdr>
                    <w:top w:val="none" w:sz="0" w:space="0" w:color="auto"/>
                    <w:left w:val="none" w:sz="0" w:space="0" w:color="auto"/>
                    <w:bottom w:val="none" w:sz="0" w:space="0" w:color="auto"/>
                    <w:right w:val="none" w:sz="0" w:space="0" w:color="auto"/>
                  </w:divBdr>
                </w:div>
                <w:div w:id="1463306824">
                  <w:marLeft w:val="0"/>
                  <w:marRight w:val="0"/>
                  <w:marTop w:val="0"/>
                  <w:marBottom w:val="0"/>
                  <w:divBdr>
                    <w:top w:val="none" w:sz="0" w:space="0" w:color="auto"/>
                    <w:left w:val="none" w:sz="0" w:space="0" w:color="auto"/>
                    <w:bottom w:val="none" w:sz="0" w:space="0" w:color="auto"/>
                    <w:right w:val="none" w:sz="0" w:space="0" w:color="auto"/>
                  </w:divBdr>
                </w:div>
                <w:div w:id="1512526772">
                  <w:marLeft w:val="0"/>
                  <w:marRight w:val="0"/>
                  <w:marTop w:val="0"/>
                  <w:marBottom w:val="0"/>
                  <w:divBdr>
                    <w:top w:val="none" w:sz="0" w:space="0" w:color="auto"/>
                    <w:left w:val="none" w:sz="0" w:space="0" w:color="auto"/>
                    <w:bottom w:val="none" w:sz="0" w:space="0" w:color="auto"/>
                    <w:right w:val="none" w:sz="0" w:space="0" w:color="auto"/>
                  </w:divBdr>
                </w:div>
                <w:div w:id="1520201482">
                  <w:marLeft w:val="0"/>
                  <w:marRight w:val="0"/>
                  <w:marTop w:val="0"/>
                  <w:marBottom w:val="0"/>
                  <w:divBdr>
                    <w:top w:val="none" w:sz="0" w:space="0" w:color="auto"/>
                    <w:left w:val="none" w:sz="0" w:space="0" w:color="auto"/>
                    <w:bottom w:val="none" w:sz="0" w:space="0" w:color="auto"/>
                    <w:right w:val="none" w:sz="0" w:space="0" w:color="auto"/>
                  </w:divBdr>
                </w:div>
                <w:div w:id="1522234277">
                  <w:marLeft w:val="0"/>
                  <w:marRight w:val="0"/>
                  <w:marTop w:val="0"/>
                  <w:marBottom w:val="0"/>
                  <w:divBdr>
                    <w:top w:val="none" w:sz="0" w:space="0" w:color="auto"/>
                    <w:left w:val="none" w:sz="0" w:space="0" w:color="auto"/>
                    <w:bottom w:val="none" w:sz="0" w:space="0" w:color="auto"/>
                    <w:right w:val="none" w:sz="0" w:space="0" w:color="auto"/>
                  </w:divBdr>
                </w:div>
                <w:div w:id="1557621844">
                  <w:marLeft w:val="0"/>
                  <w:marRight w:val="0"/>
                  <w:marTop w:val="0"/>
                  <w:marBottom w:val="0"/>
                  <w:divBdr>
                    <w:top w:val="none" w:sz="0" w:space="0" w:color="auto"/>
                    <w:left w:val="none" w:sz="0" w:space="0" w:color="auto"/>
                    <w:bottom w:val="none" w:sz="0" w:space="0" w:color="auto"/>
                    <w:right w:val="none" w:sz="0" w:space="0" w:color="auto"/>
                  </w:divBdr>
                </w:div>
                <w:div w:id="1592740927">
                  <w:marLeft w:val="0"/>
                  <w:marRight w:val="0"/>
                  <w:marTop w:val="0"/>
                  <w:marBottom w:val="0"/>
                  <w:divBdr>
                    <w:top w:val="none" w:sz="0" w:space="0" w:color="auto"/>
                    <w:left w:val="none" w:sz="0" w:space="0" w:color="auto"/>
                    <w:bottom w:val="none" w:sz="0" w:space="0" w:color="auto"/>
                    <w:right w:val="none" w:sz="0" w:space="0" w:color="auto"/>
                  </w:divBdr>
                </w:div>
                <w:div w:id="1596161679">
                  <w:marLeft w:val="0"/>
                  <w:marRight w:val="0"/>
                  <w:marTop w:val="0"/>
                  <w:marBottom w:val="0"/>
                  <w:divBdr>
                    <w:top w:val="none" w:sz="0" w:space="0" w:color="auto"/>
                    <w:left w:val="none" w:sz="0" w:space="0" w:color="auto"/>
                    <w:bottom w:val="none" w:sz="0" w:space="0" w:color="auto"/>
                    <w:right w:val="none" w:sz="0" w:space="0" w:color="auto"/>
                  </w:divBdr>
                </w:div>
                <w:div w:id="1614437137">
                  <w:marLeft w:val="0"/>
                  <w:marRight w:val="0"/>
                  <w:marTop w:val="0"/>
                  <w:marBottom w:val="0"/>
                  <w:divBdr>
                    <w:top w:val="none" w:sz="0" w:space="0" w:color="auto"/>
                    <w:left w:val="none" w:sz="0" w:space="0" w:color="auto"/>
                    <w:bottom w:val="none" w:sz="0" w:space="0" w:color="auto"/>
                    <w:right w:val="none" w:sz="0" w:space="0" w:color="auto"/>
                  </w:divBdr>
                </w:div>
                <w:div w:id="1620791941">
                  <w:marLeft w:val="0"/>
                  <w:marRight w:val="0"/>
                  <w:marTop w:val="0"/>
                  <w:marBottom w:val="0"/>
                  <w:divBdr>
                    <w:top w:val="none" w:sz="0" w:space="0" w:color="auto"/>
                    <w:left w:val="none" w:sz="0" w:space="0" w:color="auto"/>
                    <w:bottom w:val="none" w:sz="0" w:space="0" w:color="auto"/>
                    <w:right w:val="none" w:sz="0" w:space="0" w:color="auto"/>
                  </w:divBdr>
                </w:div>
                <w:div w:id="1659117911">
                  <w:marLeft w:val="0"/>
                  <w:marRight w:val="0"/>
                  <w:marTop w:val="0"/>
                  <w:marBottom w:val="0"/>
                  <w:divBdr>
                    <w:top w:val="none" w:sz="0" w:space="0" w:color="auto"/>
                    <w:left w:val="none" w:sz="0" w:space="0" w:color="auto"/>
                    <w:bottom w:val="none" w:sz="0" w:space="0" w:color="auto"/>
                    <w:right w:val="none" w:sz="0" w:space="0" w:color="auto"/>
                  </w:divBdr>
                </w:div>
                <w:div w:id="1672103289">
                  <w:marLeft w:val="0"/>
                  <w:marRight w:val="0"/>
                  <w:marTop w:val="0"/>
                  <w:marBottom w:val="0"/>
                  <w:divBdr>
                    <w:top w:val="none" w:sz="0" w:space="0" w:color="auto"/>
                    <w:left w:val="none" w:sz="0" w:space="0" w:color="auto"/>
                    <w:bottom w:val="none" w:sz="0" w:space="0" w:color="auto"/>
                    <w:right w:val="none" w:sz="0" w:space="0" w:color="auto"/>
                  </w:divBdr>
                </w:div>
                <w:div w:id="1715304940">
                  <w:marLeft w:val="0"/>
                  <w:marRight w:val="0"/>
                  <w:marTop w:val="0"/>
                  <w:marBottom w:val="0"/>
                  <w:divBdr>
                    <w:top w:val="none" w:sz="0" w:space="0" w:color="auto"/>
                    <w:left w:val="none" w:sz="0" w:space="0" w:color="auto"/>
                    <w:bottom w:val="none" w:sz="0" w:space="0" w:color="auto"/>
                    <w:right w:val="none" w:sz="0" w:space="0" w:color="auto"/>
                  </w:divBdr>
                </w:div>
                <w:div w:id="1727290236">
                  <w:marLeft w:val="0"/>
                  <w:marRight w:val="0"/>
                  <w:marTop w:val="0"/>
                  <w:marBottom w:val="0"/>
                  <w:divBdr>
                    <w:top w:val="none" w:sz="0" w:space="0" w:color="auto"/>
                    <w:left w:val="none" w:sz="0" w:space="0" w:color="auto"/>
                    <w:bottom w:val="none" w:sz="0" w:space="0" w:color="auto"/>
                    <w:right w:val="none" w:sz="0" w:space="0" w:color="auto"/>
                  </w:divBdr>
                </w:div>
                <w:div w:id="1795825704">
                  <w:marLeft w:val="0"/>
                  <w:marRight w:val="0"/>
                  <w:marTop w:val="0"/>
                  <w:marBottom w:val="0"/>
                  <w:divBdr>
                    <w:top w:val="none" w:sz="0" w:space="0" w:color="auto"/>
                    <w:left w:val="none" w:sz="0" w:space="0" w:color="auto"/>
                    <w:bottom w:val="none" w:sz="0" w:space="0" w:color="auto"/>
                    <w:right w:val="none" w:sz="0" w:space="0" w:color="auto"/>
                  </w:divBdr>
                </w:div>
                <w:div w:id="1806774863">
                  <w:marLeft w:val="0"/>
                  <w:marRight w:val="0"/>
                  <w:marTop w:val="0"/>
                  <w:marBottom w:val="0"/>
                  <w:divBdr>
                    <w:top w:val="none" w:sz="0" w:space="0" w:color="auto"/>
                    <w:left w:val="none" w:sz="0" w:space="0" w:color="auto"/>
                    <w:bottom w:val="none" w:sz="0" w:space="0" w:color="auto"/>
                    <w:right w:val="none" w:sz="0" w:space="0" w:color="auto"/>
                  </w:divBdr>
                </w:div>
                <w:div w:id="1880895035">
                  <w:marLeft w:val="0"/>
                  <w:marRight w:val="0"/>
                  <w:marTop w:val="0"/>
                  <w:marBottom w:val="0"/>
                  <w:divBdr>
                    <w:top w:val="none" w:sz="0" w:space="0" w:color="auto"/>
                    <w:left w:val="none" w:sz="0" w:space="0" w:color="auto"/>
                    <w:bottom w:val="none" w:sz="0" w:space="0" w:color="auto"/>
                    <w:right w:val="none" w:sz="0" w:space="0" w:color="auto"/>
                  </w:divBdr>
                </w:div>
                <w:div w:id="1886871164">
                  <w:marLeft w:val="0"/>
                  <w:marRight w:val="0"/>
                  <w:marTop w:val="0"/>
                  <w:marBottom w:val="0"/>
                  <w:divBdr>
                    <w:top w:val="none" w:sz="0" w:space="0" w:color="auto"/>
                    <w:left w:val="none" w:sz="0" w:space="0" w:color="auto"/>
                    <w:bottom w:val="none" w:sz="0" w:space="0" w:color="auto"/>
                    <w:right w:val="none" w:sz="0" w:space="0" w:color="auto"/>
                  </w:divBdr>
                </w:div>
                <w:div w:id="1887327148">
                  <w:marLeft w:val="0"/>
                  <w:marRight w:val="0"/>
                  <w:marTop w:val="0"/>
                  <w:marBottom w:val="0"/>
                  <w:divBdr>
                    <w:top w:val="none" w:sz="0" w:space="0" w:color="auto"/>
                    <w:left w:val="none" w:sz="0" w:space="0" w:color="auto"/>
                    <w:bottom w:val="none" w:sz="0" w:space="0" w:color="auto"/>
                    <w:right w:val="none" w:sz="0" w:space="0" w:color="auto"/>
                  </w:divBdr>
                </w:div>
                <w:div w:id="1910915935">
                  <w:marLeft w:val="0"/>
                  <w:marRight w:val="0"/>
                  <w:marTop w:val="0"/>
                  <w:marBottom w:val="0"/>
                  <w:divBdr>
                    <w:top w:val="none" w:sz="0" w:space="0" w:color="auto"/>
                    <w:left w:val="none" w:sz="0" w:space="0" w:color="auto"/>
                    <w:bottom w:val="none" w:sz="0" w:space="0" w:color="auto"/>
                    <w:right w:val="none" w:sz="0" w:space="0" w:color="auto"/>
                  </w:divBdr>
                </w:div>
                <w:div w:id="1922177381">
                  <w:marLeft w:val="0"/>
                  <w:marRight w:val="0"/>
                  <w:marTop w:val="0"/>
                  <w:marBottom w:val="0"/>
                  <w:divBdr>
                    <w:top w:val="none" w:sz="0" w:space="0" w:color="auto"/>
                    <w:left w:val="none" w:sz="0" w:space="0" w:color="auto"/>
                    <w:bottom w:val="none" w:sz="0" w:space="0" w:color="auto"/>
                    <w:right w:val="none" w:sz="0" w:space="0" w:color="auto"/>
                  </w:divBdr>
                </w:div>
                <w:div w:id="1926575171">
                  <w:marLeft w:val="0"/>
                  <w:marRight w:val="0"/>
                  <w:marTop w:val="0"/>
                  <w:marBottom w:val="0"/>
                  <w:divBdr>
                    <w:top w:val="none" w:sz="0" w:space="0" w:color="auto"/>
                    <w:left w:val="none" w:sz="0" w:space="0" w:color="auto"/>
                    <w:bottom w:val="none" w:sz="0" w:space="0" w:color="auto"/>
                    <w:right w:val="none" w:sz="0" w:space="0" w:color="auto"/>
                  </w:divBdr>
                </w:div>
                <w:div w:id="1936475369">
                  <w:marLeft w:val="0"/>
                  <w:marRight w:val="0"/>
                  <w:marTop w:val="0"/>
                  <w:marBottom w:val="0"/>
                  <w:divBdr>
                    <w:top w:val="none" w:sz="0" w:space="0" w:color="auto"/>
                    <w:left w:val="none" w:sz="0" w:space="0" w:color="auto"/>
                    <w:bottom w:val="none" w:sz="0" w:space="0" w:color="auto"/>
                    <w:right w:val="none" w:sz="0" w:space="0" w:color="auto"/>
                  </w:divBdr>
                </w:div>
                <w:div w:id="1980066606">
                  <w:marLeft w:val="0"/>
                  <w:marRight w:val="0"/>
                  <w:marTop w:val="0"/>
                  <w:marBottom w:val="0"/>
                  <w:divBdr>
                    <w:top w:val="none" w:sz="0" w:space="0" w:color="auto"/>
                    <w:left w:val="none" w:sz="0" w:space="0" w:color="auto"/>
                    <w:bottom w:val="none" w:sz="0" w:space="0" w:color="auto"/>
                    <w:right w:val="none" w:sz="0" w:space="0" w:color="auto"/>
                  </w:divBdr>
                </w:div>
                <w:div w:id="1982927749">
                  <w:marLeft w:val="0"/>
                  <w:marRight w:val="0"/>
                  <w:marTop w:val="0"/>
                  <w:marBottom w:val="0"/>
                  <w:divBdr>
                    <w:top w:val="none" w:sz="0" w:space="0" w:color="auto"/>
                    <w:left w:val="none" w:sz="0" w:space="0" w:color="auto"/>
                    <w:bottom w:val="none" w:sz="0" w:space="0" w:color="auto"/>
                    <w:right w:val="none" w:sz="0" w:space="0" w:color="auto"/>
                  </w:divBdr>
                </w:div>
                <w:div w:id="2040936217">
                  <w:marLeft w:val="0"/>
                  <w:marRight w:val="0"/>
                  <w:marTop w:val="0"/>
                  <w:marBottom w:val="0"/>
                  <w:divBdr>
                    <w:top w:val="none" w:sz="0" w:space="0" w:color="auto"/>
                    <w:left w:val="none" w:sz="0" w:space="0" w:color="auto"/>
                    <w:bottom w:val="none" w:sz="0" w:space="0" w:color="auto"/>
                    <w:right w:val="none" w:sz="0" w:space="0" w:color="auto"/>
                  </w:divBdr>
                </w:div>
                <w:div w:id="2041274798">
                  <w:marLeft w:val="0"/>
                  <w:marRight w:val="0"/>
                  <w:marTop w:val="0"/>
                  <w:marBottom w:val="0"/>
                  <w:divBdr>
                    <w:top w:val="none" w:sz="0" w:space="0" w:color="auto"/>
                    <w:left w:val="none" w:sz="0" w:space="0" w:color="auto"/>
                    <w:bottom w:val="none" w:sz="0" w:space="0" w:color="auto"/>
                    <w:right w:val="none" w:sz="0" w:space="0" w:color="auto"/>
                  </w:divBdr>
                </w:div>
                <w:div w:id="2073380425">
                  <w:marLeft w:val="0"/>
                  <w:marRight w:val="0"/>
                  <w:marTop w:val="0"/>
                  <w:marBottom w:val="0"/>
                  <w:divBdr>
                    <w:top w:val="none" w:sz="0" w:space="0" w:color="auto"/>
                    <w:left w:val="none" w:sz="0" w:space="0" w:color="auto"/>
                    <w:bottom w:val="none" w:sz="0" w:space="0" w:color="auto"/>
                    <w:right w:val="none" w:sz="0" w:space="0" w:color="auto"/>
                  </w:divBdr>
                </w:div>
                <w:div w:id="2079204208">
                  <w:marLeft w:val="0"/>
                  <w:marRight w:val="0"/>
                  <w:marTop w:val="0"/>
                  <w:marBottom w:val="0"/>
                  <w:divBdr>
                    <w:top w:val="none" w:sz="0" w:space="0" w:color="auto"/>
                    <w:left w:val="none" w:sz="0" w:space="0" w:color="auto"/>
                    <w:bottom w:val="none" w:sz="0" w:space="0" w:color="auto"/>
                    <w:right w:val="none" w:sz="0" w:space="0" w:color="auto"/>
                  </w:divBdr>
                </w:div>
                <w:div w:id="2101675439">
                  <w:marLeft w:val="0"/>
                  <w:marRight w:val="0"/>
                  <w:marTop w:val="0"/>
                  <w:marBottom w:val="0"/>
                  <w:divBdr>
                    <w:top w:val="none" w:sz="0" w:space="0" w:color="auto"/>
                    <w:left w:val="none" w:sz="0" w:space="0" w:color="auto"/>
                    <w:bottom w:val="none" w:sz="0" w:space="0" w:color="auto"/>
                    <w:right w:val="none" w:sz="0" w:space="0" w:color="auto"/>
                  </w:divBdr>
                </w:div>
                <w:div w:id="2102339146">
                  <w:marLeft w:val="0"/>
                  <w:marRight w:val="0"/>
                  <w:marTop w:val="0"/>
                  <w:marBottom w:val="0"/>
                  <w:divBdr>
                    <w:top w:val="none" w:sz="0" w:space="0" w:color="auto"/>
                    <w:left w:val="none" w:sz="0" w:space="0" w:color="auto"/>
                    <w:bottom w:val="none" w:sz="0" w:space="0" w:color="auto"/>
                    <w:right w:val="none" w:sz="0" w:space="0" w:color="auto"/>
                  </w:divBdr>
                </w:div>
                <w:div w:id="2135905803">
                  <w:marLeft w:val="0"/>
                  <w:marRight w:val="0"/>
                  <w:marTop w:val="0"/>
                  <w:marBottom w:val="0"/>
                  <w:divBdr>
                    <w:top w:val="none" w:sz="0" w:space="0" w:color="auto"/>
                    <w:left w:val="none" w:sz="0" w:space="0" w:color="auto"/>
                    <w:bottom w:val="none" w:sz="0" w:space="0" w:color="auto"/>
                    <w:right w:val="none" w:sz="0" w:space="0" w:color="auto"/>
                  </w:divBdr>
                </w:div>
                <w:div w:id="21446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1025">
      <w:bodyDiv w:val="1"/>
      <w:marLeft w:val="0"/>
      <w:marRight w:val="0"/>
      <w:marTop w:val="0"/>
      <w:marBottom w:val="0"/>
      <w:divBdr>
        <w:top w:val="none" w:sz="0" w:space="0" w:color="auto"/>
        <w:left w:val="none" w:sz="0" w:space="0" w:color="auto"/>
        <w:bottom w:val="none" w:sz="0" w:space="0" w:color="auto"/>
        <w:right w:val="none" w:sz="0" w:space="0" w:color="auto"/>
      </w:divBdr>
      <w:divsChild>
        <w:div w:id="68161203">
          <w:marLeft w:val="0"/>
          <w:marRight w:val="0"/>
          <w:marTop w:val="0"/>
          <w:marBottom w:val="0"/>
          <w:divBdr>
            <w:top w:val="none" w:sz="0" w:space="0" w:color="auto"/>
            <w:left w:val="none" w:sz="0" w:space="0" w:color="auto"/>
            <w:bottom w:val="none" w:sz="0" w:space="0" w:color="auto"/>
            <w:right w:val="none" w:sz="0" w:space="0" w:color="auto"/>
          </w:divBdr>
        </w:div>
        <w:div w:id="1235625069">
          <w:marLeft w:val="0"/>
          <w:marRight w:val="0"/>
          <w:marTop w:val="0"/>
          <w:marBottom w:val="0"/>
          <w:divBdr>
            <w:top w:val="none" w:sz="0" w:space="0" w:color="auto"/>
            <w:left w:val="none" w:sz="0" w:space="0" w:color="auto"/>
            <w:bottom w:val="none" w:sz="0" w:space="0" w:color="auto"/>
            <w:right w:val="none" w:sz="0" w:space="0" w:color="auto"/>
          </w:divBdr>
        </w:div>
        <w:div w:id="1498761917">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937591480">
      <w:bodyDiv w:val="1"/>
      <w:marLeft w:val="0"/>
      <w:marRight w:val="0"/>
      <w:marTop w:val="0"/>
      <w:marBottom w:val="0"/>
      <w:divBdr>
        <w:top w:val="none" w:sz="0" w:space="0" w:color="auto"/>
        <w:left w:val="none" w:sz="0" w:space="0" w:color="auto"/>
        <w:bottom w:val="none" w:sz="0" w:space="0" w:color="auto"/>
        <w:right w:val="none" w:sz="0" w:space="0" w:color="auto"/>
      </w:divBdr>
      <w:divsChild>
        <w:div w:id="44719587">
          <w:marLeft w:val="0"/>
          <w:marRight w:val="0"/>
          <w:marTop w:val="0"/>
          <w:marBottom w:val="0"/>
          <w:divBdr>
            <w:top w:val="none" w:sz="0" w:space="0" w:color="auto"/>
            <w:left w:val="none" w:sz="0" w:space="0" w:color="auto"/>
            <w:bottom w:val="none" w:sz="0" w:space="0" w:color="auto"/>
            <w:right w:val="none" w:sz="0" w:space="0" w:color="auto"/>
          </w:divBdr>
        </w:div>
        <w:div w:id="161630972">
          <w:marLeft w:val="0"/>
          <w:marRight w:val="0"/>
          <w:marTop w:val="0"/>
          <w:marBottom w:val="0"/>
          <w:divBdr>
            <w:top w:val="none" w:sz="0" w:space="0" w:color="auto"/>
            <w:left w:val="none" w:sz="0" w:space="0" w:color="auto"/>
            <w:bottom w:val="none" w:sz="0" w:space="0" w:color="auto"/>
            <w:right w:val="none" w:sz="0" w:space="0" w:color="auto"/>
          </w:divBdr>
        </w:div>
        <w:div w:id="564687594">
          <w:marLeft w:val="0"/>
          <w:marRight w:val="0"/>
          <w:marTop w:val="0"/>
          <w:marBottom w:val="0"/>
          <w:divBdr>
            <w:top w:val="none" w:sz="0" w:space="0" w:color="auto"/>
            <w:left w:val="none" w:sz="0" w:space="0" w:color="auto"/>
            <w:bottom w:val="none" w:sz="0" w:space="0" w:color="auto"/>
            <w:right w:val="none" w:sz="0" w:space="0" w:color="auto"/>
          </w:divBdr>
        </w:div>
        <w:div w:id="813834478">
          <w:marLeft w:val="0"/>
          <w:marRight w:val="0"/>
          <w:marTop w:val="0"/>
          <w:marBottom w:val="0"/>
          <w:divBdr>
            <w:top w:val="none" w:sz="0" w:space="0" w:color="auto"/>
            <w:left w:val="none" w:sz="0" w:space="0" w:color="auto"/>
            <w:bottom w:val="none" w:sz="0" w:space="0" w:color="auto"/>
            <w:right w:val="none" w:sz="0" w:space="0" w:color="auto"/>
          </w:divBdr>
        </w:div>
        <w:div w:id="1052726490">
          <w:marLeft w:val="0"/>
          <w:marRight w:val="0"/>
          <w:marTop w:val="0"/>
          <w:marBottom w:val="0"/>
          <w:divBdr>
            <w:top w:val="none" w:sz="0" w:space="0" w:color="auto"/>
            <w:left w:val="none" w:sz="0" w:space="0" w:color="auto"/>
            <w:bottom w:val="none" w:sz="0" w:space="0" w:color="auto"/>
            <w:right w:val="none" w:sz="0" w:space="0" w:color="auto"/>
          </w:divBdr>
        </w:div>
        <w:div w:id="1054357684">
          <w:marLeft w:val="0"/>
          <w:marRight w:val="0"/>
          <w:marTop w:val="0"/>
          <w:marBottom w:val="0"/>
          <w:divBdr>
            <w:top w:val="none" w:sz="0" w:space="0" w:color="auto"/>
            <w:left w:val="none" w:sz="0" w:space="0" w:color="auto"/>
            <w:bottom w:val="none" w:sz="0" w:space="0" w:color="auto"/>
            <w:right w:val="none" w:sz="0" w:space="0" w:color="auto"/>
          </w:divBdr>
        </w:div>
        <w:div w:id="1127310785">
          <w:marLeft w:val="0"/>
          <w:marRight w:val="0"/>
          <w:marTop w:val="0"/>
          <w:marBottom w:val="0"/>
          <w:divBdr>
            <w:top w:val="none" w:sz="0" w:space="0" w:color="auto"/>
            <w:left w:val="none" w:sz="0" w:space="0" w:color="auto"/>
            <w:bottom w:val="none" w:sz="0" w:space="0" w:color="auto"/>
            <w:right w:val="none" w:sz="0" w:space="0" w:color="auto"/>
          </w:divBdr>
        </w:div>
        <w:div w:id="1256747646">
          <w:marLeft w:val="0"/>
          <w:marRight w:val="0"/>
          <w:marTop w:val="0"/>
          <w:marBottom w:val="0"/>
          <w:divBdr>
            <w:top w:val="none" w:sz="0" w:space="0" w:color="auto"/>
            <w:left w:val="none" w:sz="0" w:space="0" w:color="auto"/>
            <w:bottom w:val="none" w:sz="0" w:space="0" w:color="auto"/>
            <w:right w:val="none" w:sz="0" w:space="0" w:color="auto"/>
          </w:divBdr>
        </w:div>
        <w:div w:id="1265576421">
          <w:marLeft w:val="0"/>
          <w:marRight w:val="0"/>
          <w:marTop w:val="0"/>
          <w:marBottom w:val="0"/>
          <w:divBdr>
            <w:top w:val="none" w:sz="0" w:space="0" w:color="auto"/>
            <w:left w:val="none" w:sz="0" w:space="0" w:color="auto"/>
            <w:bottom w:val="none" w:sz="0" w:space="0" w:color="auto"/>
            <w:right w:val="none" w:sz="0" w:space="0" w:color="auto"/>
          </w:divBdr>
        </w:div>
        <w:div w:id="1490369973">
          <w:marLeft w:val="0"/>
          <w:marRight w:val="0"/>
          <w:marTop w:val="0"/>
          <w:marBottom w:val="0"/>
          <w:divBdr>
            <w:top w:val="none" w:sz="0" w:space="0" w:color="auto"/>
            <w:left w:val="none" w:sz="0" w:space="0" w:color="auto"/>
            <w:bottom w:val="none" w:sz="0" w:space="0" w:color="auto"/>
            <w:right w:val="none" w:sz="0" w:space="0" w:color="auto"/>
          </w:divBdr>
        </w:div>
        <w:div w:id="1570917809">
          <w:marLeft w:val="0"/>
          <w:marRight w:val="0"/>
          <w:marTop w:val="0"/>
          <w:marBottom w:val="0"/>
          <w:divBdr>
            <w:top w:val="none" w:sz="0" w:space="0" w:color="auto"/>
            <w:left w:val="none" w:sz="0" w:space="0" w:color="auto"/>
            <w:bottom w:val="none" w:sz="0" w:space="0" w:color="auto"/>
            <w:right w:val="none" w:sz="0" w:space="0" w:color="auto"/>
          </w:divBdr>
        </w:div>
        <w:div w:id="1601986447">
          <w:marLeft w:val="0"/>
          <w:marRight w:val="0"/>
          <w:marTop w:val="0"/>
          <w:marBottom w:val="0"/>
          <w:divBdr>
            <w:top w:val="none" w:sz="0" w:space="0" w:color="auto"/>
            <w:left w:val="none" w:sz="0" w:space="0" w:color="auto"/>
            <w:bottom w:val="none" w:sz="0" w:space="0" w:color="auto"/>
            <w:right w:val="none" w:sz="0" w:space="0" w:color="auto"/>
          </w:divBdr>
        </w:div>
        <w:div w:id="1778405284">
          <w:marLeft w:val="0"/>
          <w:marRight w:val="0"/>
          <w:marTop w:val="0"/>
          <w:marBottom w:val="0"/>
          <w:divBdr>
            <w:top w:val="none" w:sz="0" w:space="0" w:color="auto"/>
            <w:left w:val="none" w:sz="0" w:space="0" w:color="auto"/>
            <w:bottom w:val="none" w:sz="0" w:space="0" w:color="auto"/>
            <w:right w:val="none" w:sz="0" w:space="0" w:color="auto"/>
          </w:divBdr>
        </w:div>
        <w:div w:id="1784375933">
          <w:marLeft w:val="0"/>
          <w:marRight w:val="0"/>
          <w:marTop w:val="0"/>
          <w:marBottom w:val="0"/>
          <w:divBdr>
            <w:top w:val="none" w:sz="0" w:space="0" w:color="auto"/>
            <w:left w:val="none" w:sz="0" w:space="0" w:color="auto"/>
            <w:bottom w:val="none" w:sz="0" w:space="0" w:color="auto"/>
            <w:right w:val="none" w:sz="0" w:space="0" w:color="auto"/>
          </w:divBdr>
        </w:div>
        <w:div w:id="1831561934">
          <w:marLeft w:val="0"/>
          <w:marRight w:val="0"/>
          <w:marTop w:val="0"/>
          <w:marBottom w:val="0"/>
          <w:divBdr>
            <w:top w:val="none" w:sz="0" w:space="0" w:color="auto"/>
            <w:left w:val="none" w:sz="0" w:space="0" w:color="auto"/>
            <w:bottom w:val="none" w:sz="0" w:space="0" w:color="auto"/>
            <w:right w:val="none" w:sz="0" w:space="0" w:color="auto"/>
          </w:divBdr>
        </w:div>
        <w:div w:id="1939480316">
          <w:marLeft w:val="0"/>
          <w:marRight w:val="0"/>
          <w:marTop w:val="0"/>
          <w:marBottom w:val="0"/>
          <w:divBdr>
            <w:top w:val="none" w:sz="0" w:space="0" w:color="auto"/>
            <w:left w:val="none" w:sz="0" w:space="0" w:color="auto"/>
            <w:bottom w:val="none" w:sz="0" w:space="0" w:color="auto"/>
            <w:right w:val="none" w:sz="0" w:space="0" w:color="auto"/>
          </w:divBdr>
        </w:div>
        <w:div w:id="212857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igeria.progno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worldbank.org/data-catalog/world-development-indicato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prsgroup.com/about-us/our-two-methodologies/ic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__doLinkPostBack('','mdb%7E%7Ebth%7C%7Cjdb%7E%7Ebthjnh%7C%7Css%7E%7EJN%20%22Nigeria%20Oil%20%26%20Gas%20Report%22%7C%7Csl%7E%7Ejh','');" TargetMode="External"/><Relationship Id="rId14" Type="http://schemas.openxmlformats.org/officeDocument/2006/relationships/hyperlink" Target="http://www.ncc.gov.ng/index4_e.htm.%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544\AppData\Local\Temp\Nigeria%20PRS%203BResearchers%20Dataset2013.xls%20and%20FD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544\AppData\Local\Temp\Nigeria%20PRS%203BResearchers%20Dataset2013.xls%20and%20FD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Graphs!$A$9:$B$9</c:f>
              <c:strCache>
                <c:ptCount val="1"/>
                <c:pt idx="0">
                  <c:v>Political Components Annual % Change</c:v>
                </c:pt>
              </c:strCache>
            </c:strRef>
          </c:tx>
          <c:invertIfNegative val="0"/>
          <c:cat>
            <c:strRef>
              <c:f>Graphs!$C$8:$L$8</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Graphs!$C$9:$L$9</c:f>
              <c:numCache>
                <c:formatCode>General</c:formatCode>
                <c:ptCount val="10"/>
                <c:pt idx="0" formatCode="0.00">
                  <c:v>0</c:v>
                </c:pt>
                <c:pt idx="1">
                  <c:v>7.09</c:v>
                </c:pt>
                <c:pt idx="2">
                  <c:v>5.22</c:v>
                </c:pt>
                <c:pt idx="3">
                  <c:v>1.139999999999985</c:v>
                </c:pt>
                <c:pt idx="4">
                  <c:v>4.05</c:v>
                </c:pt>
                <c:pt idx="5">
                  <c:v>-4.71</c:v>
                </c:pt>
                <c:pt idx="6">
                  <c:v>-0.76000000000000745</c:v>
                </c:pt>
                <c:pt idx="7">
                  <c:v>4.8899999999999997</c:v>
                </c:pt>
                <c:pt idx="8">
                  <c:v>-0.73000000000000065</c:v>
                </c:pt>
                <c:pt idx="9">
                  <c:v>1.56</c:v>
                </c:pt>
              </c:numCache>
            </c:numRef>
          </c:val>
        </c:ser>
        <c:ser>
          <c:idx val="1"/>
          <c:order val="1"/>
          <c:tx>
            <c:strRef>
              <c:f>Graphs!$A$10:$B$10</c:f>
              <c:strCache>
                <c:ptCount val="1"/>
                <c:pt idx="0">
                  <c:v>Telecommunications FDI Annual % Change</c:v>
                </c:pt>
              </c:strCache>
            </c:strRef>
          </c:tx>
          <c:invertIfNegative val="0"/>
          <c:cat>
            <c:strRef>
              <c:f>Graphs!$C$8:$L$8</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Graphs!$C$10:$L$10</c:f>
              <c:numCache>
                <c:formatCode>0.00</c:formatCode>
                <c:ptCount val="10"/>
                <c:pt idx="0">
                  <c:v>0</c:v>
                </c:pt>
                <c:pt idx="1">
                  <c:v>97.4</c:v>
                </c:pt>
                <c:pt idx="2" formatCode="General">
                  <c:v>-36.08</c:v>
                </c:pt>
                <c:pt idx="3" formatCode="General">
                  <c:v>116.07</c:v>
                </c:pt>
                <c:pt idx="4" formatCode="General">
                  <c:v>9.65</c:v>
                </c:pt>
                <c:pt idx="5" formatCode="General">
                  <c:v>8.91</c:v>
                </c:pt>
                <c:pt idx="6" formatCode="General">
                  <c:v>8.49</c:v>
                </c:pt>
                <c:pt idx="7" formatCode="General">
                  <c:v>2.0699999999999998</c:v>
                </c:pt>
                <c:pt idx="8" formatCode="General">
                  <c:v>-0.69000000000000505</c:v>
                </c:pt>
                <c:pt idx="9" formatCode="General">
                  <c:v>-51.120000000000012</c:v>
                </c:pt>
              </c:numCache>
            </c:numRef>
          </c:val>
        </c:ser>
        <c:dLbls>
          <c:showLegendKey val="0"/>
          <c:showVal val="0"/>
          <c:showCatName val="0"/>
          <c:showSerName val="0"/>
          <c:showPercent val="0"/>
          <c:showBubbleSize val="0"/>
        </c:dLbls>
        <c:gapWidth val="150"/>
        <c:shape val="box"/>
        <c:axId val="200351104"/>
        <c:axId val="200358144"/>
        <c:axId val="0"/>
      </c:bar3DChart>
      <c:catAx>
        <c:axId val="200351104"/>
        <c:scaling>
          <c:orientation val="minMax"/>
        </c:scaling>
        <c:delete val="0"/>
        <c:axPos val="b"/>
        <c:title>
          <c:tx>
            <c:rich>
              <a:bodyPr/>
              <a:lstStyle/>
              <a:p>
                <a:pPr>
                  <a:defRPr/>
                </a:pPr>
                <a:r>
                  <a:rPr lang="en-US"/>
                  <a:t>Year</a:t>
                </a:r>
              </a:p>
            </c:rich>
          </c:tx>
          <c:overlay val="0"/>
        </c:title>
        <c:majorTickMark val="none"/>
        <c:minorTickMark val="none"/>
        <c:tickLblPos val="nextTo"/>
        <c:crossAx val="200358144"/>
        <c:crosses val="autoZero"/>
        <c:auto val="1"/>
        <c:lblAlgn val="ctr"/>
        <c:lblOffset val="100"/>
        <c:noMultiLvlLbl val="0"/>
      </c:catAx>
      <c:valAx>
        <c:axId val="200358144"/>
        <c:scaling>
          <c:orientation val="minMax"/>
        </c:scaling>
        <c:delete val="0"/>
        <c:axPos val="l"/>
        <c:majorGridlines/>
        <c:title>
          <c:tx>
            <c:rich>
              <a:bodyPr/>
              <a:lstStyle/>
              <a:p>
                <a:pPr>
                  <a:defRPr/>
                </a:pPr>
                <a:r>
                  <a:rPr lang="en-US"/>
                  <a:t>Annual Percentage Change</a:t>
                </a:r>
              </a:p>
            </c:rich>
          </c:tx>
          <c:overlay val="0"/>
        </c:title>
        <c:numFmt formatCode="0.00" sourceLinked="1"/>
        <c:majorTickMark val="out"/>
        <c:minorTickMark val="none"/>
        <c:tickLblPos val="nextTo"/>
        <c:crossAx val="2003511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Graphs!$A$9:$B$9</c:f>
              <c:strCache>
                <c:ptCount val="1"/>
                <c:pt idx="0">
                  <c:v>Political Components Annual % Change</c:v>
                </c:pt>
              </c:strCache>
            </c:strRef>
          </c:tx>
          <c:cat>
            <c:strRef>
              <c:f>Graphs!$C$8:$L$8</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Graphs!$C$9:$L$9</c:f>
              <c:numCache>
                <c:formatCode>General</c:formatCode>
                <c:ptCount val="10"/>
                <c:pt idx="0" formatCode="0.00">
                  <c:v>0</c:v>
                </c:pt>
                <c:pt idx="1">
                  <c:v>7.09</c:v>
                </c:pt>
                <c:pt idx="2">
                  <c:v>5.22</c:v>
                </c:pt>
                <c:pt idx="3">
                  <c:v>1.139999999999985</c:v>
                </c:pt>
                <c:pt idx="4">
                  <c:v>4.05</c:v>
                </c:pt>
                <c:pt idx="5">
                  <c:v>-4.71</c:v>
                </c:pt>
                <c:pt idx="6">
                  <c:v>-0.76000000000000745</c:v>
                </c:pt>
                <c:pt idx="7">
                  <c:v>4.8899999999999997</c:v>
                </c:pt>
                <c:pt idx="8">
                  <c:v>-0.73000000000000065</c:v>
                </c:pt>
                <c:pt idx="9">
                  <c:v>1.56</c:v>
                </c:pt>
              </c:numCache>
            </c:numRef>
          </c:val>
          <c:smooth val="0"/>
        </c:ser>
        <c:ser>
          <c:idx val="1"/>
          <c:order val="1"/>
          <c:tx>
            <c:strRef>
              <c:f>Graphs!$A$10:$B$10</c:f>
              <c:strCache>
                <c:ptCount val="1"/>
                <c:pt idx="0">
                  <c:v>Telecommunications FDI Annual % Change</c:v>
                </c:pt>
              </c:strCache>
            </c:strRef>
          </c:tx>
          <c:cat>
            <c:strRef>
              <c:f>Graphs!$C$8:$L$8</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Graphs!$C$10:$L$10</c:f>
              <c:numCache>
                <c:formatCode>0.00</c:formatCode>
                <c:ptCount val="10"/>
                <c:pt idx="0">
                  <c:v>0</c:v>
                </c:pt>
                <c:pt idx="1">
                  <c:v>97.4</c:v>
                </c:pt>
                <c:pt idx="2" formatCode="General">
                  <c:v>-36.08</c:v>
                </c:pt>
                <c:pt idx="3" formatCode="General">
                  <c:v>116.07</c:v>
                </c:pt>
                <c:pt idx="4" formatCode="General">
                  <c:v>9.65</c:v>
                </c:pt>
                <c:pt idx="5" formatCode="General">
                  <c:v>8.91</c:v>
                </c:pt>
                <c:pt idx="6" formatCode="General">
                  <c:v>8.49</c:v>
                </c:pt>
                <c:pt idx="7" formatCode="General">
                  <c:v>2.0699999999999998</c:v>
                </c:pt>
                <c:pt idx="8" formatCode="General">
                  <c:v>-0.69000000000000061</c:v>
                </c:pt>
                <c:pt idx="9" formatCode="General">
                  <c:v>-51.120000000000012</c:v>
                </c:pt>
              </c:numCache>
            </c:numRef>
          </c:val>
          <c:smooth val="0"/>
        </c:ser>
        <c:dLbls>
          <c:showLegendKey val="0"/>
          <c:showVal val="0"/>
          <c:showCatName val="0"/>
          <c:showSerName val="0"/>
          <c:showPercent val="0"/>
          <c:showBubbleSize val="0"/>
        </c:dLbls>
        <c:dropLines/>
        <c:marker val="1"/>
        <c:smooth val="0"/>
        <c:axId val="293247232"/>
        <c:axId val="172159360"/>
      </c:lineChart>
      <c:catAx>
        <c:axId val="293247232"/>
        <c:scaling>
          <c:orientation val="minMax"/>
        </c:scaling>
        <c:delete val="0"/>
        <c:axPos val="b"/>
        <c:title>
          <c:tx>
            <c:rich>
              <a:bodyPr/>
              <a:lstStyle/>
              <a:p>
                <a:pPr>
                  <a:defRPr/>
                </a:pPr>
                <a:r>
                  <a:rPr lang="en-US"/>
                  <a:t>year</a:t>
                </a:r>
              </a:p>
            </c:rich>
          </c:tx>
          <c:layout>
            <c:manualLayout>
              <c:xMode val="edge"/>
              <c:yMode val="edge"/>
              <c:x val="0.35277143482064782"/>
              <c:y val="0.87868037328668103"/>
            </c:manualLayout>
          </c:layout>
          <c:overlay val="0"/>
        </c:title>
        <c:majorTickMark val="none"/>
        <c:minorTickMark val="none"/>
        <c:tickLblPos val="nextTo"/>
        <c:crossAx val="172159360"/>
        <c:crosses val="autoZero"/>
        <c:auto val="1"/>
        <c:lblAlgn val="ctr"/>
        <c:lblOffset val="100"/>
        <c:noMultiLvlLbl val="0"/>
      </c:catAx>
      <c:valAx>
        <c:axId val="172159360"/>
        <c:scaling>
          <c:orientation val="minMax"/>
        </c:scaling>
        <c:delete val="0"/>
        <c:axPos val="l"/>
        <c:majorGridlines/>
        <c:title>
          <c:tx>
            <c:rich>
              <a:bodyPr/>
              <a:lstStyle/>
              <a:p>
                <a:pPr>
                  <a:defRPr/>
                </a:pPr>
                <a:r>
                  <a:rPr lang="en-US"/>
                  <a:t>Annual percentage Change</a:t>
                </a:r>
              </a:p>
            </c:rich>
          </c:tx>
          <c:overlay val="0"/>
        </c:title>
        <c:numFmt formatCode="0.00" sourceLinked="1"/>
        <c:majorTickMark val="out"/>
        <c:minorTickMark val="none"/>
        <c:tickLblPos val="nextTo"/>
        <c:crossAx val="2932472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95F6-CAF8-4EAD-B9CA-3098BC76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Obioha Okoro</dc:creator>
  <cp:lastModifiedBy>Ellis Osabutey</cp:lastModifiedBy>
  <cp:revision>3</cp:revision>
  <cp:lastPrinted>2014-09-29T15:52:00Z</cp:lastPrinted>
  <dcterms:created xsi:type="dcterms:W3CDTF">2015-05-08T15:58:00Z</dcterms:created>
  <dcterms:modified xsi:type="dcterms:W3CDTF">2015-05-08T16:04:00Z</dcterms:modified>
</cp:coreProperties>
</file>