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8862D" w14:textId="5B0CBABC" w:rsidR="00500E46" w:rsidRPr="00883F14" w:rsidRDefault="00174927" w:rsidP="00883F14">
      <w:pPr>
        <w:autoSpaceDE w:val="0"/>
        <w:autoSpaceDN w:val="0"/>
        <w:adjustRightInd w:val="0"/>
        <w:spacing w:line="360" w:lineRule="auto"/>
        <w:rPr>
          <w:b/>
          <w:bCs/>
          <w:color w:val="131413"/>
        </w:rPr>
      </w:pPr>
      <w:r>
        <w:rPr>
          <w:b/>
          <w:bCs/>
          <w:color w:val="131413"/>
        </w:rPr>
        <w:t xml:space="preserve">Supplementary </w:t>
      </w:r>
      <w:r w:rsidR="001E6B3A">
        <w:rPr>
          <w:b/>
          <w:bCs/>
          <w:color w:val="131413"/>
        </w:rPr>
        <w:t>Figur</w:t>
      </w:r>
      <w:r w:rsidR="00500E46" w:rsidRPr="00010BDC">
        <w:rPr>
          <w:b/>
          <w:bCs/>
          <w:color w:val="131413"/>
        </w:rPr>
        <w:t xml:space="preserve">e </w:t>
      </w:r>
      <w:r>
        <w:rPr>
          <w:b/>
          <w:bCs/>
          <w:color w:val="131413"/>
        </w:rPr>
        <w:t>1</w:t>
      </w:r>
      <w:r w:rsidR="00D87A78">
        <w:rPr>
          <w:b/>
          <w:bCs/>
          <w:color w:val="131413"/>
        </w:rPr>
        <w:t xml:space="preserve">  </w:t>
      </w:r>
      <w:r w:rsidR="00500E46" w:rsidRPr="00010BDC">
        <w:rPr>
          <w:b/>
          <w:bCs/>
          <w:color w:val="131413"/>
        </w:rPr>
        <w:t xml:space="preserve"> Changes in systemic measurements of coagulation over duration of treatment</w:t>
      </w:r>
    </w:p>
    <w:p w14:paraId="6D5EC684" w14:textId="77777777" w:rsidR="00883F14" w:rsidRDefault="00500E46" w:rsidP="00883F14">
      <w:pPr>
        <w:autoSpaceDE w:val="0"/>
        <w:autoSpaceDN w:val="0"/>
        <w:adjustRightInd w:val="0"/>
        <w:spacing w:line="360" w:lineRule="auto"/>
        <w:ind w:left="2767" w:hanging="2880"/>
        <w:rPr>
          <w:b/>
          <w:bCs/>
          <w:color w:val="131413"/>
        </w:rPr>
      </w:pPr>
      <w:r w:rsidRPr="00010BDC">
        <w:rPr>
          <w:noProof/>
          <w:color w:val="131413"/>
        </w:rPr>
        <w:drawing>
          <wp:inline distT="0" distB="0" distL="0" distR="0" wp14:anchorId="08DA6E1E" wp14:editId="34E06E1B">
            <wp:extent cx="7456714" cy="394261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4632" cy="4026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8678D" w14:textId="77777777" w:rsidR="00883F14" w:rsidRDefault="00EE476A" w:rsidP="00883F14">
      <w:pPr>
        <w:autoSpaceDE w:val="0"/>
        <w:autoSpaceDN w:val="0"/>
        <w:adjustRightInd w:val="0"/>
        <w:spacing w:line="276" w:lineRule="auto"/>
        <w:ind w:left="2767" w:hanging="2880"/>
        <w:rPr>
          <w:color w:val="131413"/>
        </w:rPr>
      </w:pPr>
      <w:r w:rsidRPr="00010BDC">
        <w:rPr>
          <w:b/>
          <w:bCs/>
          <w:color w:val="131413"/>
        </w:rPr>
        <w:t>Abbreviations:</w:t>
      </w:r>
      <w:r w:rsidRPr="00010BDC">
        <w:rPr>
          <w:color w:val="131413"/>
        </w:rPr>
        <w:t xml:space="preserve"> INR, International Normalised Ratio; </w:t>
      </w:r>
      <w:proofErr w:type="spellStart"/>
      <w:r w:rsidRPr="00010BDC">
        <w:rPr>
          <w:color w:val="131413"/>
        </w:rPr>
        <w:t>APTTr</w:t>
      </w:r>
      <w:proofErr w:type="spellEnd"/>
      <w:r w:rsidRPr="00010BDC">
        <w:rPr>
          <w:color w:val="131413"/>
        </w:rPr>
        <w:t xml:space="preserve">, Activated Partial Thromboplastin Time ratio; TGA, Thrombin Generation </w:t>
      </w:r>
      <w:proofErr w:type="gramStart"/>
      <w:r w:rsidRPr="00010BDC">
        <w:rPr>
          <w:color w:val="131413"/>
        </w:rPr>
        <w:t>Assay;</w:t>
      </w:r>
      <w:proofErr w:type="gramEnd"/>
      <w:r w:rsidRPr="00010BDC">
        <w:rPr>
          <w:color w:val="131413"/>
        </w:rPr>
        <w:t xml:space="preserve"> </w:t>
      </w:r>
    </w:p>
    <w:p w14:paraId="18F8BED2" w14:textId="77777777" w:rsidR="00883F14" w:rsidRDefault="00EE476A" w:rsidP="00883F14">
      <w:pPr>
        <w:autoSpaceDE w:val="0"/>
        <w:autoSpaceDN w:val="0"/>
        <w:adjustRightInd w:val="0"/>
        <w:spacing w:line="276" w:lineRule="auto"/>
        <w:ind w:left="2767" w:hanging="2880"/>
        <w:rPr>
          <w:color w:val="131413"/>
        </w:rPr>
      </w:pPr>
      <w:r w:rsidRPr="00010BDC">
        <w:rPr>
          <w:color w:val="131413"/>
        </w:rPr>
        <w:t xml:space="preserve">PFSCA, Platelet Function Assay using Collagen/Adenosine diphosphate; PFSCE, Platelet Function Assay using Collagen/Epinephrine; CT, </w:t>
      </w:r>
    </w:p>
    <w:p w14:paraId="6BC42D21" w14:textId="4499D73A" w:rsidR="00883F14" w:rsidRDefault="00EE476A" w:rsidP="00883F14">
      <w:pPr>
        <w:autoSpaceDE w:val="0"/>
        <w:autoSpaceDN w:val="0"/>
        <w:adjustRightInd w:val="0"/>
        <w:spacing w:line="276" w:lineRule="auto"/>
        <w:ind w:left="2767" w:hanging="2880"/>
        <w:rPr>
          <w:color w:val="131413"/>
        </w:rPr>
      </w:pPr>
      <w:r w:rsidRPr="00010BDC">
        <w:rPr>
          <w:color w:val="131413"/>
        </w:rPr>
        <w:t xml:space="preserve">Closure Time. </w:t>
      </w:r>
    </w:p>
    <w:p w14:paraId="5CE2A0D0" w14:textId="77777777" w:rsidR="00883F14" w:rsidRDefault="00883F14" w:rsidP="001E6B3A">
      <w:pPr>
        <w:autoSpaceDE w:val="0"/>
        <w:autoSpaceDN w:val="0"/>
        <w:adjustRightInd w:val="0"/>
        <w:spacing w:line="120" w:lineRule="exact"/>
        <w:ind w:left="2767" w:hanging="2880"/>
        <w:rPr>
          <w:noProof/>
          <w:color w:val="131413"/>
        </w:rPr>
      </w:pPr>
    </w:p>
    <w:p w14:paraId="6C81A569" w14:textId="77777777" w:rsidR="00883F14" w:rsidRDefault="00EE476A" w:rsidP="00883F14">
      <w:pPr>
        <w:autoSpaceDE w:val="0"/>
        <w:autoSpaceDN w:val="0"/>
        <w:adjustRightInd w:val="0"/>
        <w:spacing w:line="276" w:lineRule="auto"/>
        <w:ind w:left="2767" w:hanging="2880"/>
        <w:rPr>
          <w:color w:val="131413"/>
        </w:rPr>
      </w:pPr>
      <w:r w:rsidRPr="00010BDC">
        <w:rPr>
          <w:color w:val="131413"/>
        </w:rPr>
        <w:t>Repeated measures ANOVAs compared systemic parameters from baseline to 48 hours. Post-hoc pairwise comparisons found significant</w:t>
      </w:r>
      <w:r w:rsidR="00883F14">
        <w:rPr>
          <w:color w:val="131413"/>
        </w:rPr>
        <w:t xml:space="preserve"> </w:t>
      </w:r>
    </w:p>
    <w:p w14:paraId="62A9F9D5" w14:textId="77777777" w:rsidR="00883F14" w:rsidRDefault="00EE476A" w:rsidP="00883F14">
      <w:pPr>
        <w:autoSpaceDE w:val="0"/>
        <w:autoSpaceDN w:val="0"/>
        <w:adjustRightInd w:val="0"/>
        <w:spacing w:line="276" w:lineRule="auto"/>
        <w:ind w:left="2767" w:hanging="2880"/>
        <w:rPr>
          <w:color w:val="131413"/>
        </w:rPr>
      </w:pPr>
      <w:r w:rsidRPr="00010BDC">
        <w:rPr>
          <w:color w:val="131413"/>
        </w:rPr>
        <w:t xml:space="preserve">differences between </w:t>
      </w:r>
      <w:r w:rsidR="00EC3F61" w:rsidRPr="00010BDC">
        <w:rPr>
          <w:color w:val="131413"/>
        </w:rPr>
        <w:t>haemoglobin</w:t>
      </w:r>
      <w:r w:rsidRPr="00010BDC">
        <w:rPr>
          <w:color w:val="131413"/>
        </w:rPr>
        <w:t xml:space="preserve"> at baseline and 36hours (p=0.030) and baseline and 48 hours (p=0.018); platelets at baseline and 36 hours</w:t>
      </w:r>
    </w:p>
    <w:p w14:paraId="7C1A0CE2" w14:textId="77777777" w:rsidR="00883F14" w:rsidRDefault="00EE476A" w:rsidP="00883F14">
      <w:pPr>
        <w:autoSpaceDE w:val="0"/>
        <w:autoSpaceDN w:val="0"/>
        <w:adjustRightInd w:val="0"/>
        <w:spacing w:line="276" w:lineRule="auto"/>
        <w:ind w:left="2767" w:hanging="2880"/>
        <w:rPr>
          <w:color w:val="131413"/>
        </w:rPr>
      </w:pPr>
      <w:r w:rsidRPr="00010BDC">
        <w:rPr>
          <w:color w:val="131413"/>
        </w:rPr>
        <w:t xml:space="preserve">(p=0.035) and baseline and 48 hours (p=0.040) and INR at baseline and 36hours (p=0.034) and baseline and 48 hours (p=0.024). There were no </w:t>
      </w:r>
    </w:p>
    <w:p w14:paraId="24D89AC0" w14:textId="3F6E88F3" w:rsidR="00EE476A" w:rsidRDefault="00EE476A" w:rsidP="001E6B3A">
      <w:pPr>
        <w:autoSpaceDE w:val="0"/>
        <w:autoSpaceDN w:val="0"/>
        <w:adjustRightInd w:val="0"/>
        <w:spacing w:line="276" w:lineRule="auto"/>
        <w:ind w:left="2767" w:hanging="2880"/>
        <w:rPr>
          <w:color w:val="131413"/>
        </w:rPr>
      </w:pPr>
      <w:r w:rsidRPr="00010BDC">
        <w:rPr>
          <w:color w:val="131413"/>
        </w:rPr>
        <w:t xml:space="preserve">significant differences in systemic parameters on CRRT.  </w:t>
      </w:r>
    </w:p>
    <w:p w14:paraId="0E88ABF8" w14:textId="2C3A0CD5" w:rsidR="000F671F" w:rsidRDefault="000F671F" w:rsidP="001E6B3A">
      <w:pPr>
        <w:autoSpaceDE w:val="0"/>
        <w:autoSpaceDN w:val="0"/>
        <w:adjustRightInd w:val="0"/>
        <w:spacing w:line="276" w:lineRule="auto"/>
        <w:ind w:left="2767" w:hanging="2880"/>
        <w:rPr>
          <w:color w:val="131413"/>
        </w:rPr>
      </w:pPr>
    </w:p>
    <w:p w14:paraId="50A73674" w14:textId="77777777" w:rsidR="000F671F" w:rsidRPr="00010BDC" w:rsidRDefault="000F671F" w:rsidP="000F671F">
      <w:pPr>
        <w:autoSpaceDE w:val="0"/>
        <w:autoSpaceDN w:val="0"/>
        <w:adjustRightInd w:val="0"/>
        <w:spacing w:line="360" w:lineRule="auto"/>
        <w:rPr>
          <w:b/>
          <w:bCs/>
          <w:color w:val="131413"/>
        </w:rPr>
      </w:pPr>
      <w:r>
        <w:rPr>
          <w:b/>
          <w:bCs/>
          <w:color w:val="131413"/>
        </w:rPr>
        <w:t xml:space="preserve">Supplementary </w:t>
      </w:r>
      <w:r w:rsidRPr="00010BDC">
        <w:rPr>
          <w:b/>
          <w:bCs/>
          <w:color w:val="131413"/>
        </w:rPr>
        <w:t xml:space="preserve">Figure </w:t>
      </w:r>
      <w:r>
        <w:rPr>
          <w:b/>
          <w:bCs/>
          <w:color w:val="131413"/>
        </w:rPr>
        <w:t xml:space="preserve">2  </w:t>
      </w:r>
      <w:r w:rsidRPr="00010BDC">
        <w:rPr>
          <w:b/>
          <w:bCs/>
          <w:color w:val="131413"/>
        </w:rPr>
        <w:t xml:space="preserve"> Changes in circuit measurements of coagulation over duration of treatment</w:t>
      </w:r>
    </w:p>
    <w:p w14:paraId="39E0CEF7" w14:textId="77777777" w:rsidR="000F671F" w:rsidRPr="00010BDC" w:rsidRDefault="000F671F" w:rsidP="000F671F">
      <w:pPr>
        <w:autoSpaceDE w:val="0"/>
        <w:autoSpaceDN w:val="0"/>
        <w:adjustRightInd w:val="0"/>
        <w:spacing w:line="360" w:lineRule="auto"/>
        <w:ind w:left="2880" w:hanging="2880"/>
        <w:rPr>
          <w:noProof/>
          <w:color w:val="131413"/>
        </w:rPr>
      </w:pPr>
      <w:r w:rsidRPr="00010BDC">
        <w:rPr>
          <w:noProof/>
          <w:color w:val="131413"/>
        </w:rPr>
        <w:drawing>
          <wp:inline distT="0" distB="0" distL="0" distR="0" wp14:anchorId="2AEC87B3" wp14:editId="4F1EA1FD">
            <wp:extent cx="8238983" cy="4036742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" t="33657" r="-299" b="-1026"/>
                    <a:stretch/>
                  </pic:blipFill>
                  <pic:spPr bwMode="auto">
                    <a:xfrm>
                      <a:off x="0" y="0"/>
                      <a:ext cx="8293744" cy="4063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70B6DF" w14:textId="77777777" w:rsidR="000F671F" w:rsidRDefault="000F671F" w:rsidP="000F671F">
      <w:pPr>
        <w:autoSpaceDE w:val="0"/>
        <w:autoSpaceDN w:val="0"/>
        <w:adjustRightInd w:val="0"/>
        <w:spacing w:line="276" w:lineRule="auto"/>
        <w:rPr>
          <w:color w:val="131413"/>
        </w:rPr>
      </w:pPr>
      <w:r w:rsidRPr="00010BDC">
        <w:rPr>
          <w:b/>
          <w:bCs/>
          <w:color w:val="131413"/>
        </w:rPr>
        <w:t>Abbreviations:</w:t>
      </w:r>
      <w:r w:rsidRPr="00010BDC">
        <w:rPr>
          <w:color w:val="131413"/>
        </w:rPr>
        <w:t xml:space="preserve"> INR, International Normalised Ratio; </w:t>
      </w:r>
      <w:proofErr w:type="spellStart"/>
      <w:r w:rsidRPr="00010BDC">
        <w:rPr>
          <w:color w:val="131413"/>
        </w:rPr>
        <w:t>APTTr</w:t>
      </w:r>
      <w:proofErr w:type="spellEnd"/>
      <w:r w:rsidRPr="00010BDC">
        <w:rPr>
          <w:color w:val="131413"/>
        </w:rPr>
        <w:t xml:space="preserve">, Activated Partial Thromboplastin Time ratio; TGA, Thrombin Generation Assay; PFSCA, Platelet Function Assay using Collagen/Adenosine diphosphate; PFSCE, Platelet Function Assay using Collagen/Epinephrine; CT, Closure Time. </w:t>
      </w:r>
    </w:p>
    <w:p w14:paraId="7F243404" w14:textId="77777777" w:rsidR="000F671F" w:rsidRPr="00883F14" w:rsidRDefault="000F671F" w:rsidP="000F671F">
      <w:pPr>
        <w:autoSpaceDE w:val="0"/>
        <w:autoSpaceDN w:val="0"/>
        <w:adjustRightInd w:val="0"/>
        <w:spacing w:line="276" w:lineRule="auto"/>
        <w:rPr>
          <w:color w:val="131413"/>
        </w:rPr>
      </w:pPr>
      <w:r w:rsidRPr="00010BDC">
        <w:rPr>
          <w:color w:val="131413"/>
        </w:rPr>
        <w:t xml:space="preserve">Repeated measures ANOVAs of measurements from the circuit compared data from 12hrs to 48hours. Only INR differed overtime, with a significant difference between 12 and 48hrs in </w:t>
      </w:r>
      <w:proofErr w:type="spellStart"/>
      <w:r w:rsidRPr="00010BDC">
        <w:rPr>
          <w:color w:val="131413"/>
        </w:rPr>
        <w:t>posthoc</w:t>
      </w:r>
      <w:proofErr w:type="spellEnd"/>
      <w:r w:rsidRPr="00010BDC">
        <w:rPr>
          <w:color w:val="131413"/>
        </w:rPr>
        <w:t xml:space="preserve"> comparisons (p=0.002).</w:t>
      </w:r>
    </w:p>
    <w:p w14:paraId="4A0B02A6" w14:textId="125AC7BB" w:rsidR="000F671F" w:rsidRDefault="000F671F" w:rsidP="001E6B3A">
      <w:pPr>
        <w:autoSpaceDE w:val="0"/>
        <w:autoSpaceDN w:val="0"/>
        <w:adjustRightInd w:val="0"/>
        <w:spacing w:line="276" w:lineRule="auto"/>
        <w:ind w:left="2767" w:hanging="2880"/>
        <w:rPr>
          <w:color w:val="131413"/>
        </w:rPr>
      </w:pPr>
    </w:p>
    <w:p w14:paraId="649019B9" w14:textId="77777777" w:rsidR="000F671F" w:rsidRPr="00883F14" w:rsidRDefault="000F671F" w:rsidP="000F671F">
      <w:pPr>
        <w:autoSpaceDE w:val="0"/>
        <w:autoSpaceDN w:val="0"/>
        <w:adjustRightInd w:val="0"/>
        <w:spacing w:line="360" w:lineRule="auto"/>
        <w:ind w:left="2880" w:hanging="2880"/>
        <w:rPr>
          <w:b/>
          <w:bCs/>
          <w:color w:val="131413"/>
        </w:rPr>
      </w:pPr>
      <w:r>
        <w:rPr>
          <w:b/>
          <w:bCs/>
          <w:color w:val="131413"/>
        </w:rPr>
        <w:lastRenderedPageBreak/>
        <w:t>Supplementary F</w:t>
      </w:r>
      <w:r w:rsidRPr="00010BDC">
        <w:rPr>
          <w:b/>
          <w:bCs/>
          <w:color w:val="131413"/>
        </w:rPr>
        <w:t xml:space="preserve">igure </w:t>
      </w:r>
      <w:r>
        <w:rPr>
          <w:b/>
          <w:bCs/>
          <w:color w:val="131413"/>
        </w:rPr>
        <w:t xml:space="preserve">3  </w:t>
      </w:r>
      <w:r w:rsidRPr="00010BDC">
        <w:rPr>
          <w:b/>
          <w:bCs/>
          <w:color w:val="131413"/>
        </w:rPr>
        <w:t xml:space="preserve"> Bland Altman plots showing difference between systemic and circuit measurements </w:t>
      </w:r>
    </w:p>
    <w:p w14:paraId="0737BF5A" w14:textId="77777777" w:rsidR="000F671F" w:rsidRPr="00010BDC" w:rsidRDefault="000F671F" w:rsidP="000F671F">
      <w:pPr>
        <w:autoSpaceDE w:val="0"/>
        <w:autoSpaceDN w:val="0"/>
        <w:adjustRightInd w:val="0"/>
        <w:spacing w:line="360" w:lineRule="auto"/>
        <w:ind w:left="2880" w:hanging="2880"/>
        <w:rPr>
          <w:color w:val="131413"/>
        </w:rPr>
      </w:pPr>
      <w:r w:rsidRPr="00010BDC">
        <w:rPr>
          <w:noProof/>
          <w:color w:val="131413"/>
        </w:rPr>
        <w:drawing>
          <wp:inline distT="0" distB="0" distL="0" distR="0" wp14:anchorId="1E4703C2" wp14:editId="2567DC2B">
            <wp:extent cx="7180622" cy="4605454"/>
            <wp:effectExtent l="0" t="0" r="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121" cy="461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49DD1" w14:textId="77777777" w:rsidR="000F671F" w:rsidRDefault="000F671F" w:rsidP="000F671F">
      <w:pPr>
        <w:autoSpaceDE w:val="0"/>
        <w:autoSpaceDN w:val="0"/>
        <w:adjustRightInd w:val="0"/>
        <w:spacing w:line="276" w:lineRule="auto"/>
        <w:rPr>
          <w:color w:val="131413"/>
        </w:rPr>
      </w:pPr>
      <w:r w:rsidRPr="00010BDC">
        <w:rPr>
          <w:b/>
          <w:bCs/>
          <w:color w:val="131413"/>
        </w:rPr>
        <w:t>Abbreviations:</w:t>
      </w:r>
      <w:r w:rsidRPr="00010BDC">
        <w:rPr>
          <w:color w:val="131413"/>
        </w:rPr>
        <w:t xml:space="preserve"> INR, International Normalised Ratio; </w:t>
      </w:r>
      <w:proofErr w:type="spellStart"/>
      <w:r w:rsidRPr="00010BDC">
        <w:rPr>
          <w:color w:val="131413"/>
        </w:rPr>
        <w:t>APTTr</w:t>
      </w:r>
      <w:proofErr w:type="spellEnd"/>
      <w:r w:rsidRPr="00010BDC">
        <w:rPr>
          <w:color w:val="131413"/>
        </w:rPr>
        <w:t xml:space="preserve">, Activated Partial Thromboplastin Time ratio; TGA, Thrombin Generation Assay; PFSCA, Platelet Function Assay using Collagen/Adenosine diphosphate; PFSCE, Platelet Function Assay using Collagen/Epinephrine; CT, Closure Time. </w:t>
      </w:r>
      <w:r>
        <w:rPr>
          <w:color w:val="131413"/>
        </w:rPr>
        <w:t xml:space="preserve">        </w:t>
      </w:r>
    </w:p>
    <w:p w14:paraId="2C16FE4B" w14:textId="77777777" w:rsidR="000F671F" w:rsidRDefault="000F671F" w:rsidP="000F671F">
      <w:pPr>
        <w:autoSpaceDE w:val="0"/>
        <w:autoSpaceDN w:val="0"/>
        <w:adjustRightInd w:val="0"/>
        <w:spacing w:line="120" w:lineRule="exact"/>
        <w:rPr>
          <w:color w:val="131413"/>
        </w:rPr>
      </w:pPr>
      <w:r>
        <w:rPr>
          <w:color w:val="131413"/>
        </w:rPr>
        <w:t xml:space="preserve">                                                            </w:t>
      </w:r>
    </w:p>
    <w:p w14:paraId="3FAD1532" w14:textId="604DE23C" w:rsidR="000F671F" w:rsidRPr="00883F14" w:rsidRDefault="000F671F" w:rsidP="000F671F">
      <w:pPr>
        <w:autoSpaceDE w:val="0"/>
        <w:autoSpaceDN w:val="0"/>
        <w:adjustRightInd w:val="0"/>
        <w:spacing w:line="276" w:lineRule="auto"/>
        <w:rPr>
          <w:color w:val="131413"/>
        </w:rPr>
      </w:pPr>
      <w:r w:rsidRPr="00010BDC">
        <w:rPr>
          <w:color w:val="131413"/>
        </w:rPr>
        <w:t>Lines shown represent the mean differences in systemic and circuit measurements and 95% limits of agreement.</w:t>
      </w:r>
    </w:p>
    <w:sectPr w:rsidR="000F671F" w:rsidRPr="00883F14" w:rsidSect="001E6B3A">
      <w:footerReference w:type="even" r:id="rId11"/>
      <w:footerReference w:type="default" r:id="rId12"/>
      <w:pgSz w:w="16838" w:h="11906" w:orient="landscape"/>
      <w:pgMar w:top="1361" w:right="1440" w:bottom="136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E0BEF" w14:textId="77777777" w:rsidR="00210077" w:rsidRDefault="00210077" w:rsidP="00B1641F">
      <w:r>
        <w:separator/>
      </w:r>
    </w:p>
  </w:endnote>
  <w:endnote w:type="continuationSeparator" w:id="0">
    <w:p w14:paraId="26C64384" w14:textId="77777777" w:rsidR="00210077" w:rsidRDefault="00210077" w:rsidP="00B16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6638827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64CB1E" w14:textId="29473BDC" w:rsidR="0069048E" w:rsidRDefault="0069048E" w:rsidP="001E6B3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60A54D2" w14:textId="77777777" w:rsidR="0069048E" w:rsidRDefault="0069048E" w:rsidP="001D2EB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20339442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94F8B72" w14:textId="26FD3DF0" w:rsidR="0069048E" w:rsidRDefault="0069048E" w:rsidP="001E6B3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11</w:t>
        </w:r>
        <w:r>
          <w:rPr>
            <w:rStyle w:val="PageNumber"/>
          </w:rPr>
          <w:fldChar w:fldCharType="end"/>
        </w:r>
      </w:p>
    </w:sdtContent>
  </w:sdt>
  <w:p w14:paraId="6F688F54" w14:textId="77777777" w:rsidR="0069048E" w:rsidRDefault="0069048E" w:rsidP="001D2E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19D073" w14:textId="77777777" w:rsidR="00210077" w:rsidRDefault="00210077" w:rsidP="00B1641F">
      <w:r>
        <w:separator/>
      </w:r>
    </w:p>
  </w:footnote>
  <w:footnote w:type="continuationSeparator" w:id="0">
    <w:p w14:paraId="6FEB4AC6" w14:textId="77777777" w:rsidR="00210077" w:rsidRDefault="00210077" w:rsidP="00B16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5793E"/>
    <w:multiLevelType w:val="hybridMultilevel"/>
    <w:tmpl w:val="8C2C1F40"/>
    <w:lvl w:ilvl="0" w:tplc="9FCAA11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737F5"/>
    <w:multiLevelType w:val="multilevel"/>
    <w:tmpl w:val="BD7E3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716C4B"/>
    <w:multiLevelType w:val="multilevel"/>
    <w:tmpl w:val="84343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385773"/>
    <w:multiLevelType w:val="multilevel"/>
    <w:tmpl w:val="9BB8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9C3406"/>
    <w:multiLevelType w:val="multilevel"/>
    <w:tmpl w:val="26DE6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B068BA"/>
    <w:multiLevelType w:val="multilevel"/>
    <w:tmpl w:val="047A1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751B9A"/>
    <w:multiLevelType w:val="multilevel"/>
    <w:tmpl w:val="4230B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EA6312"/>
    <w:multiLevelType w:val="multilevel"/>
    <w:tmpl w:val="E6E8F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D74A68"/>
    <w:multiLevelType w:val="multilevel"/>
    <w:tmpl w:val="8F146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8C5955"/>
    <w:multiLevelType w:val="multilevel"/>
    <w:tmpl w:val="CCCE8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E95132"/>
    <w:multiLevelType w:val="multilevel"/>
    <w:tmpl w:val="83D8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10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nnals Internal Medicin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w000fee6efrv0e95fcvd5e9rsf0t5s0zts0&quot;&gt;My EndNote Library&lt;record-ids&gt;&lt;item&gt;1&lt;/item&gt;&lt;item&gt;2&lt;/item&gt;&lt;item&gt;3&lt;/item&gt;&lt;item&gt;4&lt;/item&gt;&lt;item&gt;5&lt;/item&gt;&lt;item&gt;6&lt;/item&gt;&lt;item&gt;7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/record-ids&gt;&lt;/item&gt;&lt;/Libraries&gt;"/>
  </w:docVars>
  <w:rsids>
    <w:rsidRoot w:val="00753246"/>
    <w:rsid w:val="000050BC"/>
    <w:rsid w:val="00006E87"/>
    <w:rsid w:val="00010BDC"/>
    <w:rsid w:val="00015255"/>
    <w:rsid w:val="0002014C"/>
    <w:rsid w:val="00020C9F"/>
    <w:rsid w:val="00021E2A"/>
    <w:rsid w:val="00032BF4"/>
    <w:rsid w:val="000354A1"/>
    <w:rsid w:val="000425CB"/>
    <w:rsid w:val="000505BD"/>
    <w:rsid w:val="0006245D"/>
    <w:rsid w:val="00062B6F"/>
    <w:rsid w:val="0006485E"/>
    <w:rsid w:val="00070806"/>
    <w:rsid w:val="000756F3"/>
    <w:rsid w:val="00081D37"/>
    <w:rsid w:val="00082EBC"/>
    <w:rsid w:val="00085D6C"/>
    <w:rsid w:val="00086069"/>
    <w:rsid w:val="000970CE"/>
    <w:rsid w:val="000A12F8"/>
    <w:rsid w:val="000A1805"/>
    <w:rsid w:val="000A2D2C"/>
    <w:rsid w:val="000A35ED"/>
    <w:rsid w:val="000A7AAF"/>
    <w:rsid w:val="000B5DEE"/>
    <w:rsid w:val="000B74FD"/>
    <w:rsid w:val="000C2311"/>
    <w:rsid w:val="000C5E20"/>
    <w:rsid w:val="000D2AEA"/>
    <w:rsid w:val="000D51EF"/>
    <w:rsid w:val="000D5C76"/>
    <w:rsid w:val="000D75E8"/>
    <w:rsid w:val="000E0EB7"/>
    <w:rsid w:val="000E7755"/>
    <w:rsid w:val="000F1FFB"/>
    <w:rsid w:val="000F2A10"/>
    <w:rsid w:val="000F2D41"/>
    <w:rsid w:val="000F4C6A"/>
    <w:rsid w:val="000F671F"/>
    <w:rsid w:val="00101B05"/>
    <w:rsid w:val="001069D1"/>
    <w:rsid w:val="00112081"/>
    <w:rsid w:val="001132E6"/>
    <w:rsid w:val="001166CB"/>
    <w:rsid w:val="0011684B"/>
    <w:rsid w:val="00123703"/>
    <w:rsid w:val="00124AFC"/>
    <w:rsid w:val="0012524A"/>
    <w:rsid w:val="0012667A"/>
    <w:rsid w:val="00136061"/>
    <w:rsid w:val="00142C48"/>
    <w:rsid w:val="00142F78"/>
    <w:rsid w:val="00150912"/>
    <w:rsid w:val="00150D20"/>
    <w:rsid w:val="00151D89"/>
    <w:rsid w:val="00154B8C"/>
    <w:rsid w:val="001578F5"/>
    <w:rsid w:val="001703A7"/>
    <w:rsid w:val="001715A8"/>
    <w:rsid w:val="00174927"/>
    <w:rsid w:val="00176352"/>
    <w:rsid w:val="001769B0"/>
    <w:rsid w:val="00184A3C"/>
    <w:rsid w:val="00191DF3"/>
    <w:rsid w:val="001A123A"/>
    <w:rsid w:val="001B0CDA"/>
    <w:rsid w:val="001B4B70"/>
    <w:rsid w:val="001B52B1"/>
    <w:rsid w:val="001C175C"/>
    <w:rsid w:val="001C7B64"/>
    <w:rsid w:val="001D2EBB"/>
    <w:rsid w:val="001E260E"/>
    <w:rsid w:val="001E2DAE"/>
    <w:rsid w:val="001E57E5"/>
    <w:rsid w:val="001E586C"/>
    <w:rsid w:val="001E6B3A"/>
    <w:rsid w:val="001F2791"/>
    <w:rsid w:val="001F3318"/>
    <w:rsid w:val="001F6E33"/>
    <w:rsid w:val="002006AA"/>
    <w:rsid w:val="00200B0D"/>
    <w:rsid w:val="00203A71"/>
    <w:rsid w:val="0020716C"/>
    <w:rsid w:val="00207A62"/>
    <w:rsid w:val="00210077"/>
    <w:rsid w:val="00210EDC"/>
    <w:rsid w:val="00213BD9"/>
    <w:rsid w:val="00214E26"/>
    <w:rsid w:val="002206C7"/>
    <w:rsid w:val="00222A5D"/>
    <w:rsid w:val="0022390E"/>
    <w:rsid w:val="00231496"/>
    <w:rsid w:val="00234964"/>
    <w:rsid w:val="00243739"/>
    <w:rsid w:val="0025028F"/>
    <w:rsid w:val="002570C0"/>
    <w:rsid w:val="00263BA8"/>
    <w:rsid w:val="00270768"/>
    <w:rsid w:val="00271B91"/>
    <w:rsid w:val="002737F5"/>
    <w:rsid w:val="00275E2D"/>
    <w:rsid w:val="00276B86"/>
    <w:rsid w:val="0029068A"/>
    <w:rsid w:val="00291084"/>
    <w:rsid w:val="00296794"/>
    <w:rsid w:val="002A654C"/>
    <w:rsid w:val="002B0549"/>
    <w:rsid w:val="002B5F4D"/>
    <w:rsid w:val="002B7BDE"/>
    <w:rsid w:val="002C2084"/>
    <w:rsid w:val="002C2E19"/>
    <w:rsid w:val="002C3634"/>
    <w:rsid w:val="002D2AC6"/>
    <w:rsid w:val="002D3AA5"/>
    <w:rsid w:val="002D4259"/>
    <w:rsid w:val="002D52A7"/>
    <w:rsid w:val="002E0689"/>
    <w:rsid w:val="002E77DC"/>
    <w:rsid w:val="002F041F"/>
    <w:rsid w:val="002F4424"/>
    <w:rsid w:val="002F6A34"/>
    <w:rsid w:val="00300172"/>
    <w:rsid w:val="00301FFE"/>
    <w:rsid w:val="003033D8"/>
    <w:rsid w:val="003130DF"/>
    <w:rsid w:val="00313210"/>
    <w:rsid w:val="00321912"/>
    <w:rsid w:val="003439D5"/>
    <w:rsid w:val="0034568E"/>
    <w:rsid w:val="00350748"/>
    <w:rsid w:val="0035154B"/>
    <w:rsid w:val="003607A4"/>
    <w:rsid w:val="0037074E"/>
    <w:rsid w:val="00380056"/>
    <w:rsid w:val="0038080B"/>
    <w:rsid w:val="00384C48"/>
    <w:rsid w:val="003867E9"/>
    <w:rsid w:val="00386D60"/>
    <w:rsid w:val="00392CE9"/>
    <w:rsid w:val="00394305"/>
    <w:rsid w:val="00396BD2"/>
    <w:rsid w:val="003A3335"/>
    <w:rsid w:val="003A350B"/>
    <w:rsid w:val="003A651C"/>
    <w:rsid w:val="003B4862"/>
    <w:rsid w:val="003B77A3"/>
    <w:rsid w:val="003C2699"/>
    <w:rsid w:val="003C58F1"/>
    <w:rsid w:val="003E2979"/>
    <w:rsid w:val="003E2C01"/>
    <w:rsid w:val="003F5290"/>
    <w:rsid w:val="003F60F5"/>
    <w:rsid w:val="003F7016"/>
    <w:rsid w:val="003F71AB"/>
    <w:rsid w:val="003F7D29"/>
    <w:rsid w:val="00404686"/>
    <w:rsid w:val="004075E0"/>
    <w:rsid w:val="00414092"/>
    <w:rsid w:val="00414C73"/>
    <w:rsid w:val="00420A7A"/>
    <w:rsid w:val="0043500B"/>
    <w:rsid w:val="004424CB"/>
    <w:rsid w:val="00446687"/>
    <w:rsid w:val="00446DCE"/>
    <w:rsid w:val="00466F0A"/>
    <w:rsid w:val="00470CEE"/>
    <w:rsid w:val="00474BA9"/>
    <w:rsid w:val="00475226"/>
    <w:rsid w:val="00482FF2"/>
    <w:rsid w:val="004836F2"/>
    <w:rsid w:val="00485539"/>
    <w:rsid w:val="004878C9"/>
    <w:rsid w:val="0049113E"/>
    <w:rsid w:val="0049569C"/>
    <w:rsid w:val="00495E45"/>
    <w:rsid w:val="004A077A"/>
    <w:rsid w:val="004A5D94"/>
    <w:rsid w:val="004A7339"/>
    <w:rsid w:val="004B1C91"/>
    <w:rsid w:val="004B1F04"/>
    <w:rsid w:val="004B53D1"/>
    <w:rsid w:val="004C0686"/>
    <w:rsid w:val="004C4A47"/>
    <w:rsid w:val="004C5A17"/>
    <w:rsid w:val="004D3CF8"/>
    <w:rsid w:val="004E2058"/>
    <w:rsid w:val="004E5709"/>
    <w:rsid w:val="00500B2D"/>
    <w:rsid w:val="00500E46"/>
    <w:rsid w:val="00503FB7"/>
    <w:rsid w:val="005107EA"/>
    <w:rsid w:val="0051330D"/>
    <w:rsid w:val="00514187"/>
    <w:rsid w:val="0051487B"/>
    <w:rsid w:val="0051652F"/>
    <w:rsid w:val="00516567"/>
    <w:rsid w:val="00516742"/>
    <w:rsid w:val="00520D69"/>
    <w:rsid w:val="005237D2"/>
    <w:rsid w:val="00523E0C"/>
    <w:rsid w:val="00530F59"/>
    <w:rsid w:val="0053253E"/>
    <w:rsid w:val="0053527F"/>
    <w:rsid w:val="00537416"/>
    <w:rsid w:val="0054774E"/>
    <w:rsid w:val="0055587F"/>
    <w:rsid w:val="00567EBF"/>
    <w:rsid w:val="005706DC"/>
    <w:rsid w:val="00571F7B"/>
    <w:rsid w:val="00573534"/>
    <w:rsid w:val="00577AE7"/>
    <w:rsid w:val="0058300F"/>
    <w:rsid w:val="0058464B"/>
    <w:rsid w:val="00584DDB"/>
    <w:rsid w:val="0059099A"/>
    <w:rsid w:val="00591332"/>
    <w:rsid w:val="00592F5F"/>
    <w:rsid w:val="0059472F"/>
    <w:rsid w:val="00596C84"/>
    <w:rsid w:val="005A2118"/>
    <w:rsid w:val="005C1CA6"/>
    <w:rsid w:val="005C3805"/>
    <w:rsid w:val="005C5416"/>
    <w:rsid w:val="005D1A61"/>
    <w:rsid w:val="005D64A4"/>
    <w:rsid w:val="005E027E"/>
    <w:rsid w:val="005E62CC"/>
    <w:rsid w:val="005E651E"/>
    <w:rsid w:val="005F56A5"/>
    <w:rsid w:val="006043B3"/>
    <w:rsid w:val="006067B9"/>
    <w:rsid w:val="006120E9"/>
    <w:rsid w:val="006121CC"/>
    <w:rsid w:val="0061377E"/>
    <w:rsid w:val="00615283"/>
    <w:rsid w:val="00621F23"/>
    <w:rsid w:val="00622377"/>
    <w:rsid w:val="00622C6A"/>
    <w:rsid w:val="00624364"/>
    <w:rsid w:val="0062753B"/>
    <w:rsid w:val="006303C1"/>
    <w:rsid w:val="006340A6"/>
    <w:rsid w:val="006341DD"/>
    <w:rsid w:val="006466AD"/>
    <w:rsid w:val="00647F2E"/>
    <w:rsid w:val="00655B89"/>
    <w:rsid w:val="00667612"/>
    <w:rsid w:val="00673D13"/>
    <w:rsid w:val="006903A5"/>
    <w:rsid w:val="0069048E"/>
    <w:rsid w:val="00695F91"/>
    <w:rsid w:val="006A0AD5"/>
    <w:rsid w:val="006A0D9E"/>
    <w:rsid w:val="006A2310"/>
    <w:rsid w:val="006A42D0"/>
    <w:rsid w:val="006A5E99"/>
    <w:rsid w:val="006A6050"/>
    <w:rsid w:val="006B358D"/>
    <w:rsid w:val="006B460E"/>
    <w:rsid w:val="006B5CAF"/>
    <w:rsid w:val="006C0C6D"/>
    <w:rsid w:val="006C293D"/>
    <w:rsid w:val="006C370B"/>
    <w:rsid w:val="006C3933"/>
    <w:rsid w:val="006C4495"/>
    <w:rsid w:val="006C551F"/>
    <w:rsid w:val="006D0C4F"/>
    <w:rsid w:val="006D61BD"/>
    <w:rsid w:val="006E1C46"/>
    <w:rsid w:val="006F0861"/>
    <w:rsid w:val="006F60F6"/>
    <w:rsid w:val="006F6585"/>
    <w:rsid w:val="00706A5E"/>
    <w:rsid w:val="00714011"/>
    <w:rsid w:val="00715F50"/>
    <w:rsid w:val="007208BD"/>
    <w:rsid w:val="00720D63"/>
    <w:rsid w:val="0072480C"/>
    <w:rsid w:val="007263BE"/>
    <w:rsid w:val="0073786D"/>
    <w:rsid w:val="00741B61"/>
    <w:rsid w:val="00743D7E"/>
    <w:rsid w:val="007453B6"/>
    <w:rsid w:val="00747FCF"/>
    <w:rsid w:val="00753246"/>
    <w:rsid w:val="00761DE6"/>
    <w:rsid w:val="007626F7"/>
    <w:rsid w:val="00763E51"/>
    <w:rsid w:val="007647A6"/>
    <w:rsid w:val="00766C05"/>
    <w:rsid w:val="00774368"/>
    <w:rsid w:val="00786863"/>
    <w:rsid w:val="007908BA"/>
    <w:rsid w:val="00791333"/>
    <w:rsid w:val="00797047"/>
    <w:rsid w:val="007A60B7"/>
    <w:rsid w:val="007B620C"/>
    <w:rsid w:val="007B671A"/>
    <w:rsid w:val="007B67E8"/>
    <w:rsid w:val="007C7F0B"/>
    <w:rsid w:val="007D0802"/>
    <w:rsid w:val="007D3218"/>
    <w:rsid w:val="007D771A"/>
    <w:rsid w:val="007E63B1"/>
    <w:rsid w:val="007E77E6"/>
    <w:rsid w:val="007F4DB9"/>
    <w:rsid w:val="007F541F"/>
    <w:rsid w:val="0080009D"/>
    <w:rsid w:val="00803632"/>
    <w:rsid w:val="00807513"/>
    <w:rsid w:val="008113D8"/>
    <w:rsid w:val="008133FC"/>
    <w:rsid w:val="00816E03"/>
    <w:rsid w:val="0082333E"/>
    <w:rsid w:val="00823364"/>
    <w:rsid w:val="0083135F"/>
    <w:rsid w:val="00833B15"/>
    <w:rsid w:val="00833FB6"/>
    <w:rsid w:val="00842A84"/>
    <w:rsid w:val="00843102"/>
    <w:rsid w:val="00845B5B"/>
    <w:rsid w:val="008502F0"/>
    <w:rsid w:val="00856A55"/>
    <w:rsid w:val="00863FD9"/>
    <w:rsid w:val="008641FC"/>
    <w:rsid w:val="00877360"/>
    <w:rsid w:val="0088286B"/>
    <w:rsid w:val="00883F14"/>
    <w:rsid w:val="00884C51"/>
    <w:rsid w:val="00890E61"/>
    <w:rsid w:val="00893657"/>
    <w:rsid w:val="008A25F8"/>
    <w:rsid w:val="008A5843"/>
    <w:rsid w:val="008A6A20"/>
    <w:rsid w:val="008B4F5B"/>
    <w:rsid w:val="008B6DBB"/>
    <w:rsid w:val="008D24C1"/>
    <w:rsid w:val="008D313F"/>
    <w:rsid w:val="008E176A"/>
    <w:rsid w:val="008E1F4E"/>
    <w:rsid w:val="008E4E5D"/>
    <w:rsid w:val="008F123D"/>
    <w:rsid w:val="008F152C"/>
    <w:rsid w:val="008F6930"/>
    <w:rsid w:val="009065B6"/>
    <w:rsid w:val="00907435"/>
    <w:rsid w:val="00910B9C"/>
    <w:rsid w:val="009156FF"/>
    <w:rsid w:val="00920B22"/>
    <w:rsid w:val="00921509"/>
    <w:rsid w:val="009218B9"/>
    <w:rsid w:val="00921FA4"/>
    <w:rsid w:val="00925A91"/>
    <w:rsid w:val="00926F5F"/>
    <w:rsid w:val="00931CF6"/>
    <w:rsid w:val="0093746B"/>
    <w:rsid w:val="00945F0F"/>
    <w:rsid w:val="00947C17"/>
    <w:rsid w:val="009504B4"/>
    <w:rsid w:val="00953BDF"/>
    <w:rsid w:val="00960A37"/>
    <w:rsid w:val="009632DF"/>
    <w:rsid w:val="00966B44"/>
    <w:rsid w:val="00966C04"/>
    <w:rsid w:val="009759CA"/>
    <w:rsid w:val="009835C2"/>
    <w:rsid w:val="0098658A"/>
    <w:rsid w:val="00986BA0"/>
    <w:rsid w:val="00995195"/>
    <w:rsid w:val="00995C04"/>
    <w:rsid w:val="009A1074"/>
    <w:rsid w:val="009A27D8"/>
    <w:rsid w:val="009A598A"/>
    <w:rsid w:val="009A619B"/>
    <w:rsid w:val="009B2937"/>
    <w:rsid w:val="009B393C"/>
    <w:rsid w:val="009B4984"/>
    <w:rsid w:val="009B4EEE"/>
    <w:rsid w:val="009C5035"/>
    <w:rsid w:val="009C59FE"/>
    <w:rsid w:val="009D0434"/>
    <w:rsid w:val="009D06A2"/>
    <w:rsid w:val="009E0E46"/>
    <w:rsid w:val="009E15B9"/>
    <w:rsid w:val="009F7EF7"/>
    <w:rsid w:val="00A00286"/>
    <w:rsid w:val="00A06980"/>
    <w:rsid w:val="00A0740E"/>
    <w:rsid w:val="00A13DD7"/>
    <w:rsid w:val="00A14516"/>
    <w:rsid w:val="00A17DBA"/>
    <w:rsid w:val="00A21AEE"/>
    <w:rsid w:val="00A21C1A"/>
    <w:rsid w:val="00A266E6"/>
    <w:rsid w:val="00A31601"/>
    <w:rsid w:val="00A32732"/>
    <w:rsid w:val="00A35A3D"/>
    <w:rsid w:val="00A414DF"/>
    <w:rsid w:val="00A41F3F"/>
    <w:rsid w:val="00A4357A"/>
    <w:rsid w:val="00A51282"/>
    <w:rsid w:val="00A512C7"/>
    <w:rsid w:val="00A81224"/>
    <w:rsid w:val="00A83631"/>
    <w:rsid w:val="00A85549"/>
    <w:rsid w:val="00A90833"/>
    <w:rsid w:val="00AA0C30"/>
    <w:rsid w:val="00AA26B8"/>
    <w:rsid w:val="00AA294B"/>
    <w:rsid w:val="00AA39B7"/>
    <w:rsid w:val="00AA6E3F"/>
    <w:rsid w:val="00AA7EFE"/>
    <w:rsid w:val="00AB6D51"/>
    <w:rsid w:val="00AC605F"/>
    <w:rsid w:val="00AD1DD0"/>
    <w:rsid w:val="00AD3802"/>
    <w:rsid w:val="00AE1F54"/>
    <w:rsid w:val="00AE253D"/>
    <w:rsid w:val="00AE38AB"/>
    <w:rsid w:val="00AF0C42"/>
    <w:rsid w:val="00AF742F"/>
    <w:rsid w:val="00B03B7C"/>
    <w:rsid w:val="00B071D2"/>
    <w:rsid w:val="00B07F5D"/>
    <w:rsid w:val="00B13C1D"/>
    <w:rsid w:val="00B1641F"/>
    <w:rsid w:val="00B243C6"/>
    <w:rsid w:val="00B304A9"/>
    <w:rsid w:val="00B3444B"/>
    <w:rsid w:val="00B37D28"/>
    <w:rsid w:val="00B42F75"/>
    <w:rsid w:val="00B55CE6"/>
    <w:rsid w:val="00B56137"/>
    <w:rsid w:val="00B6061B"/>
    <w:rsid w:val="00B6179B"/>
    <w:rsid w:val="00B62952"/>
    <w:rsid w:val="00B63786"/>
    <w:rsid w:val="00B6504D"/>
    <w:rsid w:val="00B66C7D"/>
    <w:rsid w:val="00B711C2"/>
    <w:rsid w:val="00B7460A"/>
    <w:rsid w:val="00B74855"/>
    <w:rsid w:val="00B75ECE"/>
    <w:rsid w:val="00B7638D"/>
    <w:rsid w:val="00B87E86"/>
    <w:rsid w:val="00B94D23"/>
    <w:rsid w:val="00B94F40"/>
    <w:rsid w:val="00B9540E"/>
    <w:rsid w:val="00B96321"/>
    <w:rsid w:val="00B97D2C"/>
    <w:rsid w:val="00BA196C"/>
    <w:rsid w:val="00BA4963"/>
    <w:rsid w:val="00BA4C01"/>
    <w:rsid w:val="00BB2CA9"/>
    <w:rsid w:val="00BB3D51"/>
    <w:rsid w:val="00BB5928"/>
    <w:rsid w:val="00BC4125"/>
    <w:rsid w:val="00BC4B3C"/>
    <w:rsid w:val="00BD4846"/>
    <w:rsid w:val="00BD7B4D"/>
    <w:rsid w:val="00BE267E"/>
    <w:rsid w:val="00BE38F4"/>
    <w:rsid w:val="00BE4B6F"/>
    <w:rsid w:val="00BF406E"/>
    <w:rsid w:val="00BF6C59"/>
    <w:rsid w:val="00C0073A"/>
    <w:rsid w:val="00C0120D"/>
    <w:rsid w:val="00C04435"/>
    <w:rsid w:val="00C04A7F"/>
    <w:rsid w:val="00C14983"/>
    <w:rsid w:val="00C1606B"/>
    <w:rsid w:val="00C23149"/>
    <w:rsid w:val="00C258FB"/>
    <w:rsid w:val="00C323C5"/>
    <w:rsid w:val="00C32EB0"/>
    <w:rsid w:val="00C3780A"/>
    <w:rsid w:val="00C400D9"/>
    <w:rsid w:val="00C4294E"/>
    <w:rsid w:val="00C434B1"/>
    <w:rsid w:val="00C4391C"/>
    <w:rsid w:val="00C444C1"/>
    <w:rsid w:val="00C4484E"/>
    <w:rsid w:val="00C477A4"/>
    <w:rsid w:val="00C53E22"/>
    <w:rsid w:val="00C53E35"/>
    <w:rsid w:val="00C65FCC"/>
    <w:rsid w:val="00C77894"/>
    <w:rsid w:val="00C870CF"/>
    <w:rsid w:val="00C95838"/>
    <w:rsid w:val="00CA2F0E"/>
    <w:rsid w:val="00CA5A9A"/>
    <w:rsid w:val="00CB677F"/>
    <w:rsid w:val="00CB6ABB"/>
    <w:rsid w:val="00CB6AC9"/>
    <w:rsid w:val="00CC354D"/>
    <w:rsid w:val="00CC59F2"/>
    <w:rsid w:val="00CC735C"/>
    <w:rsid w:val="00CD085A"/>
    <w:rsid w:val="00CD34F2"/>
    <w:rsid w:val="00CD427E"/>
    <w:rsid w:val="00CE13BF"/>
    <w:rsid w:val="00CE2CC6"/>
    <w:rsid w:val="00CE4A7F"/>
    <w:rsid w:val="00CF443F"/>
    <w:rsid w:val="00D01726"/>
    <w:rsid w:val="00D06FCC"/>
    <w:rsid w:val="00D070BC"/>
    <w:rsid w:val="00D072A1"/>
    <w:rsid w:val="00D1285B"/>
    <w:rsid w:val="00D12C5B"/>
    <w:rsid w:val="00D20231"/>
    <w:rsid w:val="00D23310"/>
    <w:rsid w:val="00D27816"/>
    <w:rsid w:val="00D27D47"/>
    <w:rsid w:val="00D330A6"/>
    <w:rsid w:val="00D41D74"/>
    <w:rsid w:val="00D47F62"/>
    <w:rsid w:val="00D53008"/>
    <w:rsid w:val="00D70065"/>
    <w:rsid w:val="00D70240"/>
    <w:rsid w:val="00D760AE"/>
    <w:rsid w:val="00D80F3C"/>
    <w:rsid w:val="00D8138E"/>
    <w:rsid w:val="00D878F7"/>
    <w:rsid w:val="00D87A78"/>
    <w:rsid w:val="00D92E8E"/>
    <w:rsid w:val="00D96616"/>
    <w:rsid w:val="00DB0E93"/>
    <w:rsid w:val="00DB4AA2"/>
    <w:rsid w:val="00DC58A1"/>
    <w:rsid w:val="00DD2675"/>
    <w:rsid w:val="00DE1CB0"/>
    <w:rsid w:val="00DE70EF"/>
    <w:rsid w:val="00DF7749"/>
    <w:rsid w:val="00E00B9C"/>
    <w:rsid w:val="00E16468"/>
    <w:rsid w:val="00E17355"/>
    <w:rsid w:val="00E20CC7"/>
    <w:rsid w:val="00E212FF"/>
    <w:rsid w:val="00E2285A"/>
    <w:rsid w:val="00E263C6"/>
    <w:rsid w:val="00E26D50"/>
    <w:rsid w:val="00E50501"/>
    <w:rsid w:val="00E5080E"/>
    <w:rsid w:val="00E54D2F"/>
    <w:rsid w:val="00E55143"/>
    <w:rsid w:val="00E57193"/>
    <w:rsid w:val="00E666DA"/>
    <w:rsid w:val="00E76CF4"/>
    <w:rsid w:val="00E840DF"/>
    <w:rsid w:val="00E96823"/>
    <w:rsid w:val="00E96933"/>
    <w:rsid w:val="00E9760B"/>
    <w:rsid w:val="00EA03D1"/>
    <w:rsid w:val="00EB0867"/>
    <w:rsid w:val="00EB2356"/>
    <w:rsid w:val="00EB43DE"/>
    <w:rsid w:val="00EB4C0E"/>
    <w:rsid w:val="00EB7217"/>
    <w:rsid w:val="00EC3F61"/>
    <w:rsid w:val="00ED0937"/>
    <w:rsid w:val="00ED54FC"/>
    <w:rsid w:val="00EE476A"/>
    <w:rsid w:val="00EE7731"/>
    <w:rsid w:val="00EF0ACD"/>
    <w:rsid w:val="00EF11E0"/>
    <w:rsid w:val="00F044DA"/>
    <w:rsid w:val="00F113ED"/>
    <w:rsid w:val="00F13487"/>
    <w:rsid w:val="00F14305"/>
    <w:rsid w:val="00F15A88"/>
    <w:rsid w:val="00F1789E"/>
    <w:rsid w:val="00F273FF"/>
    <w:rsid w:val="00F31D9A"/>
    <w:rsid w:val="00F429F4"/>
    <w:rsid w:val="00F47BEF"/>
    <w:rsid w:val="00F52252"/>
    <w:rsid w:val="00F522F8"/>
    <w:rsid w:val="00F62C52"/>
    <w:rsid w:val="00F72968"/>
    <w:rsid w:val="00F81509"/>
    <w:rsid w:val="00F93CC1"/>
    <w:rsid w:val="00F9461D"/>
    <w:rsid w:val="00FA0D15"/>
    <w:rsid w:val="00FA17AF"/>
    <w:rsid w:val="00FA4865"/>
    <w:rsid w:val="00FB0126"/>
    <w:rsid w:val="00FB7699"/>
    <w:rsid w:val="00FB7904"/>
    <w:rsid w:val="00FD0F20"/>
    <w:rsid w:val="00FD28AE"/>
    <w:rsid w:val="00FD7EF2"/>
    <w:rsid w:val="00FE16E4"/>
    <w:rsid w:val="00FE180C"/>
    <w:rsid w:val="00FE6EA6"/>
    <w:rsid w:val="00FF25EE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8E49C"/>
  <w15:docId w15:val="{9EBE0E03-37E7-4007-9DB8-A49C92B7C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E15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15B9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15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B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0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D0C4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160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3F60F5"/>
  </w:style>
  <w:style w:type="character" w:styleId="FollowedHyperlink">
    <w:name w:val="FollowedHyperlink"/>
    <w:basedOn w:val="DefaultParagraphFont"/>
    <w:uiPriority w:val="99"/>
    <w:semiHidden/>
    <w:unhideWhenUsed/>
    <w:rsid w:val="00592F5F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062B6F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0C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0C30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Code">
    <w:name w:val="HTML Code"/>
    <w:basedOn w:val="DefaultParagraphFont"/>
    <w:uiPriority w:val="99"/>
    <w:semiHidden/>
    <w:unhideWhenUsed/>
    <w:rsid w:val="00AA0C30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164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641F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164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641F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1D2EBB"/>
  </w:style>
  <w:style w:type="paragraph" w:customStyle="1" w:styleId="ce-list--remove-bulletslist-item">
    <w:name w:val="ce-list--remove-bullets__list-item"/>
    <w:basedOn w:val="Normal"/>
    <w:rsid w:val="00B94D23"/>
    <w:pPr>
      <w:spacing w:before="100" w:beforeAutospacing="1" w:after="100" w:afterAutospacing="1"/>
    </w:pPr>
  </w:style>
  <w:style w:type="character" w:customStyle="1" w:styleId="label">
    <w:name w:val="label"/>
    <w:basedOn w:val="DefaultParagraphFont"/>
    <w:rsid w:val="00B94D23"/>
  </w:style>
  <w:style w:type="paragraph" w:customStyle="1" w:styleId="EndNoteBibliographyTitle">
    <w:name w:val="EndNote Bibliography Title"/>
    <w:basedOn w:val="Normal"/>
    <w:link w:val="EndNoteBibliographyTitleChar"/>
    <w:rsid w:val="00A21AEE"/>
    <w:pPr>
      <w:jc w:val="center"/>
    </w:pPr>
  </w:style>
  <w:style w:type="character" w:customStyle="1" w:styleId="EndNoteBibliographyTitleChar">
    <w:name w:val="EndNote Bibliography Title Char"/>
    <w:basedOn w:val="DefaultParagraphFont"/>
    <w:link w:val="EndNoteBibliographyTitle"/>
    <w:rsid w:val="00A21AEE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">
    <w:name w:val="EndNote Bibliography"/>
    <w:basedOn w:val="Normal"/>
    <w:link w:val="EndNoteBibliographyChar"/>
    <w:rsid w:val="00A21AEE"/>
  </w:style>
  <w:style w:type="character" w:customStyle="1" w:styleId="EndNoteBibliographyChar">
    <w:name w:val="EndNote Bibliography Char"/>
    <w:basedOn w:val="DefaultParagraphFont"/>
    <w:link w:val="EndNoteBibliography"/>
    <w:rsid w:val="00A21AEE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6C0C6D"/>
    <w:rPr>
      <w:b/>
      <w:bCs/>
    </w:rPr>
  </w:style>
  <w:style w:type="character" w:customStyle="1" w:styleId="id-label">
    <w:name w:val="id-label"/>
    <w:basedOn w:val="DefaultParagraphFont"/>
    <w:rsid w:val="00622C6A"/>
  </w:style>
  <w:style w:type="paragraph" w:styleId="Revision">
    <w:name w:val="Revision"/>
    <w:hidden/>
    <w:uiPriority w:val="99"/>
    <w:semiHidden/>
    <w:rsid w:val="00010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CD4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5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1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7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9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0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04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46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6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6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2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54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35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6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42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73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23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8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4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9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7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2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3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4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4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9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C0BE6FDC-EFDB-4F4E-8B09-1E76BF83D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Marlies Ostermann</cp:lastModifiedBy>
  <cp:revision>6</cp:revision>
  <dcterms:created xsi:type="dcterms:W3CDTF">2021-06-04T17:29:00Z</dcterms:created>
  <dcterms:modified xsi:type="dcterms:W3CDTF">2021-06-12T12:51:00Z</dcterms:modified>
</cp:coreProperties>
</file>