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D2A21" w14:textId="6746DE86" w:rsidR="00E549ED" w:rsidRPr="00E549ED" w:rsidRDefault="00225931" w:rsidP="00225931">
      <w:pPr>
        <w:pStyle w:val="p"/>
        <w:jc w:val="center"/>
      </w:pPr>
      <w:proofErr w:type="gramStart"/>
      <w:r>
        <w:t>Fragmentation or Stabilization?</w:t>
      </w:r>
      <w:proofErr w:type="gramEnd"/>
      <w:r>
        <w:t xml:space="preserve"> Recent Case Law on the Crime of </w:t>
      </w:r>
      <w:r w:rsidR="00E549ED" w:rsidRPr="00E549ED">
        <w:t xml:space="preserve">Genocide </w:t>
      </w:r>
      <w:r>
        <w:t xml:space="preserve">in light of </w:t>
      </w:r>
      <w:r w:rsidR="00E549ED" w:rsidRPr="00E549ED">
        <w:t xml:space="preserve">the </w:t>
      </w:r>
      <w:r>
        <w:t xml:space="preserve">2007 Judgment of the </w:t>
      </w:r>
      <w:r w:rsidR="00E549ED" w:rsidRPr="00E549ED">
        <w:t>International Court of Justice</w:t>
      </w:r>
    </w:p>
    <w:p w14:paraId="0F6F6B58" w14:textId="77777777" w:rsidR="00E549ED" w:rsidRPr="00E549ED" w:rsidRDefault="00E549ED" w:rsidP="00B2312E">
      <w:pPr>
        <w:pStyle w:val="p"/>
      </w:pPr>
    </w:p>
    <w:p w14:paraId="0E399958" w14:textId="77777777" w:rsidR="00E549ED" w:rsidRDefault="00E549ED" w:rsidP="00C848F4">
      <w:pPr>
        <w:pStyle w:val="xmsonormal"/>
        <w:spacing w:before="0" w:beforeAutospacing="0" w:after="0" w:afterAutospacing="0" w:line="360" w:lineRule="auto"/>
        <w:jc w:val="center"/>
        <w:rPr>
          <w:rFonts w:ascii="Times New Roman" w:hAnsi="Times New Roman"/>
        </w:rPr>
      </w:pPr>
      <w:proofErr w:type="gramStart"/>
      <w:r w:rsidRPr="009A458A">
        <w:t>by</w:t>
      </w:r>
      <w:proofErr w:type="gramEnd"/>
      <w:r w:rsidRPr="009A458A">
        <w:t xml:space="preserve"> William Schabas </w:t>
      </w:r>
      <w:r w:rsidRPr="009A458A">
        <w:rPr>
          <w:sz w:val="16"/>
          <w:szCs w:val="16"/>
        </w:rPr>
        <w:t>OC MRIA</w:t>
      </w:r>
      <w:r w:rsidRPr="009A458A">
        <w:rPr>
          <w:rStyle w:val="FootnoteReference"/>
          <w:rFonts w:ascii="Times New Roman" w:hAnsi="Times New Roman"/>
        </w:rPr>
        <w:footnoteReference w:customMarkFollows="1" w:id="1"/>
        <w:t>*</w:t>
      </w:r>
    </w:p>
    <w:p w14:paraId="279CD644" w14:textId="17FFDC43" w:rsidR="00E549ED" w:rsidRPr="00C91447" w:rsidRDefault="00E549ED" w:rsidP="00C848F4">
      <w:pPr>
        <w:pStyle w:val="xmsonormal"/>
        <w:spacing w:before="0" w:beforeAutospacing="0" w:after="0" w:afterAutospacing="0" w:line="360" w:lineRule="auto"/>
        <w:jc w:val="center"/>
        <w:rPr>
          <w:rFonts w:ascii="Times New Roman" w:hAnsi="Times New Roman"/>
          <w:i/>
          <w:sz w:val="24"/>
          <w:szCs w:val="24"/>
          <w:lang w:val="fr-FR"/>
        </w:rPr>
      </w:pPr>
      <w:r w:rsidRPr="00E549ED">
        <w:t xml:space="preserve">For publication in </w:t>
      </w:r>
      <w:r w:rsidR="00C91447">
        <w:t xml:space="preserve">the </w:t>
      </w:r>
      <w:r w:rsidR="00C91447">
        <w:rPr>
          <w:i/>
        </w:rPr>
        <w:t>Nigerian Yearbook of International Law</w:t>
      </w:r>
    </w:p>
    <w:p w14:paraId="240397FA" w14:textId="77777777" w:rsidR="00E549ED" w:rsidRDefault="00E549ED" w:rsidP="00C848F4">
      <w:pPr>
        <w:pStyle w:val="xmsonormal"/>
        <w:spacing w:before="0" w:beforeAutospacing="0" w:after="0" w:afterAutospacing="0" w:line="360" w:lineRule="auto"/>
        <w:jc w:val="both"/>
        <w:rPr>
          <w:rFonts w:ascii="Times New Roman" w:hAnsi="Times New Roman"/>
          <w:sz w:val="24"/>
          <w:szCs w:val="24"/>
          <w:lang w:val="en-GB"/>
        </w:rPr>
      </w:pPr>
    </w:p>
    <w:p w14:paraId="53008FE7" w14:textId="77777777" w:rsidR="00960DF3" w:rsidRDefault="00311DB2" w:rsidP="00C848F4">
      <w:pPr>
        <w:pStyle w:val="xmsonormal"/>
        <w:spacing w:before="0" w:beforeAutospacing="0" w:after="0" w:afterAutospacing="0" w:line="360" w:lineRule="auto"/>
        <w:jc w:val="both"/>
        <w:rPr>
          <w:rFonts w:ascii="Times New Roman" w:hAnsi="Times New Roman"/>
          <w:sz w:val="24"/>
          <w:szCs w:val="24"/>
          <w:lang w:val="en-GB"/>
        </w:rPr>
      </w:pPr>
      <w:r>
        <w:rPr>
          <w:rFonts w:ascii="Times New Roman" w:hAnsi="Times New Roman"/>
          <w:sz w:val="24"/>
          <w:szCs w:val="24"/>
          <w:lang w:val="en-GB"/>
        </w:rPr>
        <w:t xml:space="preserve">The Convention on </w:t>
      </w:r>
      <w:r w:rsidR="00960DF3">
        <w:rPr>
          <w:rFonts w:ascii="Times New Roman" w:hAnsi="Times New Roman"/>
          <w:sz w:val="24"/>
          <w:szCs w:val="24"/>
          <w:lang w:val="en-GB"/>
        </w:rPr>
        <w:t xml:space="preserve">the </w:t>
      </w:r>
      <w:r>
        <w:rPr>
          <w:rFonts w:ascii="Times New Roman" w:hAnsi="Times New Roman"/>
          <w:sz w:val="24"/>
          <w:szCs w:val="24"/>
          <w:lang w:val="en-GB"/>
        </w:rPr>
        <w:t>Prevention and Punishment of the Crime of Genocide was the first human rights treaty to be adopted by the General Assembly of the United Nations</w:t>
      </w:r>
      <w:r w:rsidR="00960DF3">
        <w:rPr>
          <w:rFonts w:ascii="Times New Roman" w:hAnsi="Times New Roman"/>
          <w:sz w:val="24"/>
          <w:szCs w:val="24"/>
          <w:lang w:val="en-GB"/>
        </w:rPr>
        <w:t>. By a unanimous resolution on 9</w:t>
      </w:r>
      <w:r>
        <w:rPr>
          <w:rFonts w:ascii="Times New Roman" w:hAnsi="Times New Roman"/>
          <w:sz w:val="24"/>
          <w:szCs w:val="24"/>
          <w:lang w:val="en-GB"/>
        </w:rPr>
        <w:t xml:space="preserve"> December 1948, the Assembly approved the text that had been negotiated over the previous two years, opening the Convention for </w:t>
      </w:r>
      <w:proofErr w:type="gramStart"/>
      <w:r>
        <w:rPr>
          <w:rFonts w:ascii="Times New Roman" w:hAnsi="Times New Roman"/>
          <w:sz w:val="24"/>
          <w:szCs w:val="24"/>
          <w:lang w:val="en-GB"/>
        </w:rPr>
        <w:t>signature</w:t>
      </w:r>
      <w:proofErr w:type="gramEnd"/>
      <w:r>
        <w:rPr>
          <w:rFonts w:ascii="Times New Roman" w:hAnsi="Times New Roman"/>
          <w:sz w:val="24"/>
          <w:szCs w:val="24"/>
          <w:lang w:val="en-GB"/>
        </w:rPr>
        <w:t>. On the same day, it also adopted a companion resoluti</w:t>
      </w:r>
      <w:r w:rsidR="00960DF3">
        <w:rPr>
          <w:rFonts w:ascii="Times New Roman" w:hAnsi="Times New Roman"/>
          <w:sz w:val="24"/>
          <w:szCs w:val="24"/>
          <w:lang w:val="en-GB"/>
        </w:rPr>
        <w:t>on mandating the creation of an</w:t>
      </w:r>
      <w:r>
        <w:rPr>
          <w:rFonts w:ascii="Times New Roman" w:hAnsi="Times New Roman"/>
          <w:sz w:val="24"/>
          <w:szCs w:val="24"/>
          <w:lang w:val="en-GB"/>
        </w:rPr>
        <w:t xml:space="preserve"> international criminal court, </w:t>
      </w:r>
      <w:r w:rsidR="00960DF3">
        <w:rPr>
          <w:rFonts w:ascii="Times New Roman" w:hAnsi="Times New Roman"/>
          <w:sz w:val="24"/>
          <w:szCs w:val="24"/>
          <w:lang w:val="en-GB"/>
        </w:rPr>
        <w:t xml:space="preserve">giving effect to the reference to such an institution </w:t>
      </w:r>
      <w:r>
        <w:rPr>
          <w:rFonts w:ascii="Times New Roman" w:hAnsi="Times New Roman"/>
          <w:sz w:val="24"/>
          <w:szCs w:val="24"/>
          <w:lang w:val="en-GB"/>
        </w:rPr>
        <w:t xml:space="preserve">in article 6 of the Convention itself. </w:t>
      </w:r>
      <w:r w:rsidR="00960DF3">
        <w:rPr>
          <w:rFonts w:ascii="Times New Roman" w:hAnsi="Times New Roman"/>
          <w:sz w:val="24"/>
          <w:szCs w:val="24"/>
          <w:lang w:val="en-GB"/>
        </w:rPr>
        <w:t>But w</w:t>
      </w:r>
      <w:r>
        <w:rPr>
          <w:rFonts w:ascii="Times New Roman" w:hAnsi="Times New Roman"/>
          <w:sz w:val="24"/>
          <w:szCs w:val="24"/>
          <w:lang w:val="en-GB"/>
        </w:rPr>
        <w:t>ithin a few years, international criminal law had gone into virtual hibernation from which it was not to emer</w:t>
      </w:r>
      <w:r w:rsidR="00960DF3">
        <w:rPr>
          <w:rFonts w:ascii="Times New Roman" w:hAnsi="Times New Roman"/>
          <w:sz w:val="24"/>
          <w:szCs w:val="24"/>
          <w:lang w:val="en-GB"/>
        </w:rPr>
        <w:t>ge for more than four decades.</w:t>
      </w:r>
    </w:p>
    <w:p w14:paraId="66CE7CAD" w14:textId="2ECAFF1C" w:rsidR="00311DB2" w:rsidRDefault="00311DB2" w:rsidP="00960DF3">
      <w:pPr>
        <w:pStyle w:val="xmsonormal"/>
        <w:spacing w:before="0" w:beforeAutospacing="0" w:after="0" w:afterAutospacing="0" w:line="360" w:lineRule="auto"/>
        <w:ind w:firstLine="720"/>
        <w:jc w:val="both"/>
        <w:rPr>
          <w:rFonts w:ascii="Times New Roman" w:hAnsi="Times New Roman"/>
          <w:sz w:val="24"/>
          <w:szCs w:val="24"/>
          <w:lang w:val="en-GB"/>
        </w:rPr>
      </w:pPr>
      <w:r>
        <w:rPr>
          <w:rFonts w:ascii="Times New Roman" w:hAnsi="Times New Roman"/>
          <w:sz w:val="24"/>
          <w:szCs w:val="24"/>
          <w:lang w:val="en-GB"/>
        </w:rPr>
        <w:t xml:space="preserve">The </w:t>
      </w:r>
      <w:r w:rsidR="00960DF3">
        <w:rPr>
          <w:rFonts w:ascii="Times New Roman" w:hAnsi="Times New Roman"/>
          <w:sz w:val="24"/>
          <w:szCs w:val="24"/>
          <w:lang w:val="en-GB"/>
        </w:rPr>
        <w:t xml:space="preserve">year 1998 witnessed the glorious achievement of the Rome Statute of the </w:t>
      </w:r>
      <w:r>
        <w:rPr>
          <w:rFonts w:ascii="Times New Roman" w:hAnsi="Times New Roman"/>
          <w:sz w:val="24"/>
          <w:szCs w:val="24"/>
          <w:lang w:val="en-GB"/>
        </w:rPr>
        <w:t>International Criminal Court. As for the Genocide Convention, its fiftieth anniv</w:t>
      </w:r>
      <w:r w:rsidR="00960DF3">
        <w:rPr>
          <w:rFonts w:ascii="Times New Roman" w:hAnsi="Times New Roman"/>
          <w:sz w:val="24"/>
          <w:szCs w:val="24"/>
          <w:lang w:val="en-GB"/>
        </w:rPr>
        <w:t xml:space="preserve">ersary that same year </w:t>
      </w:r>
      <w:r>
        <w:rPr>
          <w:rFonts w:ascii="Times New Roman" w:hAnsi="Times New Roman"/>
          <w:sz w:val="24"/>
          <w:szCs w:val="24"/>
          <w:lang w:val="en-GB"/>
        </w:rPr>
        <w:t xml:space="preserve">was barely noticed. </w:t>
      </w:r>
      <w:r w:rsidR="00960DF3">
        <w:rPr>
          <w:rFonts w:ascii="Times New Roman" w:hAnsi="Times New Roman"/>
          <w:sz w:val="24"/>
          <w:szCs w:val="24"/>
          <w:lang w:val="en-GB"/>
        </w:rPr>
        <w:t>Yet in</w:t>
      </w:r>
      <w:r>
        <w:rPr>
          <w:rFonts w:ascii="Times New Roman" w:hAnsi="Times New Roman"/>
          <w:sz w:val="24"/>
          <w:szCs w:val="24"/>
          <w:lang w:val="en-GB"/>
        </w:rPr>
        <w:t xml:space="preserve"> the decade that followed, </w:t>
      </w:r>
      <w:proofErr w:type="gramStart"/>
      <w:r>
        <w:rPr>
          <w:rFonts w:ascii="Times New Roman" w:hAnsi="Times New Roman"/>
          <w:sz w:val="24"/>
          <w:szCs w:val="24"/>
          <w:lang w:val="en-GB"/>
        </w:rPr>
        <w:t xml:space="preserve">important judgments were issued by the </w:t>
      </w:r>
      <w:r>
        <w:rPr>
          <w:rFonts w:ascii="Times New Roman" w:hAnsi="Times New Roman"/>
          <w:i/>
          <w:sz w:val="24"/>
          <w:szCs w:val="24"/>
          <w:lang w:val="en-GB"/>
        </w:rPr>
        <w:t xml:space="preserve">ad hoc </w:t>
      </w:r>
      <w:r>
        <w:rPr>
          <w:rFonts w:ascii="Times New Roman" w:hAnsi="Times New Roman"/>
          <w:sz w:val="24"/>
          <w:szCs w:val="24"/>
          <w:lang w:val="en-GB"/>
        </w:rPr>
        <w:t>tribunals that applied and interpreted the provisions of the Convention</w:t>
      </w:r>
      <w:proofErr w:type="gramEnd"/>
      <w:r>
        <w:rPr>
          <w:rFonts w:ascii="Times New Roman" w:hAnsi="Times New Roman"/>
          <w:sz w:val="24"/>
          <w:szCs w:val="24"/>
          <w:lang w:val="en-GB"/>
        </w:rPr>
        <w:t xml:space="preserve">. </w:t>
      </w:r>
      <w:r w:rsidR="00960DF3">
        <w:rPr>
          <w:rFonts w:ascii="Times New Roman" w:hAnsi="Times New Roman"/>
          <w:sz w:val="24"/>
          <w:szCs w:val="24"/>
          <w:lang w:val="en-GB"/>
        </w:rPr>
        <w:t>There was a virtual explosion of academic writing on this hitherto neglected instrument. This was all crowned by a seminal ruling of</w:t>
      </w:r>
      <w:r>
        <w:rPr>
          <w:rFonts w:ascii="Times New Roman" w:hAnsi="Times New Roman"/>
          <w:sz w:val="24"/>
          <w:szCs w:val="24"/>
          <w:lang w:val="en-GB"/>
        </w:rPr>
        <w:t xml:space="preserve"> the International Court of Justice in February 2007, in the case of </w:t>
      </w:r>
      <w:r w:rsidRPr="00311DB2">
        <w:rPr>
          <w:rFonts w:ascii="Times New Roman" w:hAnsi="Times New Roman"/>
          <w:i/>
          <w:sz w:val="24"/>
          <w:szCs w:val="24"/>
          <w:lang w:val="en-GB"/>
        </w:rPr>
        <w:t>Bosnia and Herzegovina v. Serbia</w:t>
      </w:r>
      <w:r>
        <w:rPr>
          <w:rFonts w:ascii="Times New Roman" w:hAnsi="Times New Roman"/>
          <w:sz w:val="24"/>
          <w:szCs w:val="24"/>
          <w:lang w:val="en-GB"/>
        </w:rPr>
        <w:t>.</w:t>
      </w:r>
      <w:r w:rsidR="00D722CE">
        <w:rPr>
          <w:rStyle w:val="FootnoteReference"/>
          <w:rFonts w:ascii="Times New Roman" w:hAnsi="Times New Roman"/>
          <w:sz w:val="24"/>
          <w:szCs w:val="24"/>
          <w:lang w:val="en-GB"/>
        </w:rPr>
        <w:footnoteReference w:id="2"/>
      </w:r>
    </w:p>
    <w:p w14:paraId="6D886C70" w14:textId="2F6CAB24" w:rsidR="00311DB2" w:rsidRDefault="00311DB2" w:rsidP="00C848F4">
      <w:pPr>
        <w:pStyle w:val="xmsonormal"/>
        <w:spacing w:before="0" w:beforeAutospacing="0" w:after="0" w:afterAutospacing="0" w:line="360" w:lineRule="auto"/>
        <w:jc w:val="both"/>
        <w:rPr>
          <w:rFonts w:ascii="Times New Roman" w:hAnsi="Times New Roman"/>
          <w:sz w:val="24"/>
          <w:szCs w:val="24"/>
          <w:lang w:val="en-GB"/>
        </w:rPr>
      </w:pPr>
      <w:r>
        <w:rPr>
          <w:rFonts w:ascii="Times New Roman" w:hAnsi="Times New Roman"/>
          <w:sz w:val="24"/>
          <w:szCs w:val="24"/>
          <w:lang w:val="en-GB"/>
        </w:rPr>
        <w:tab/>
        <w:t xml:space="preserve">Since the </w:t>
      </w:r>
      <w:r w:rsidR="00960DF3">
        <w:rPr>
          <w:rFonts w:ascii="Times New Roman" w:hAnsi="Times New Roman"/>
          <w:sz w:val="24"/>
          <w:szCs w:val="24"/>
          <w:lang w:val="en-GB"/>
        </w:rPr>
        <w:t xml:space="preserve">2007 </w:t>
      </w:r>
      <w:r>
        <w:rPr>
          <w:rFonts w:ascii="Times New Roman" w:hAnsi="Times New Roman"/>
          <w:sz w:val="24"/>
          <w:szCs w:val="24"/>
          <w:lang w:val="en-GB"/>
        </w:rPr>
        <w:t xml:space="preserve">judgment, other international courts and tribunals have reacted to its holdings. There have been important rulings of the ad hoc tribunals, notably the Appeals Chamber of the International Criminal Tribunal for the former Yugoslavia, but also judgments of the International Criminal Court and the European Court of Human Rights dealing with the interpretation and application of provisions of the Convention. In February 2015, the International Court of Justice issued a second important judgment dealing with </w:t>
      </w:r>
      <w:r w:rsidR="00960DF3">
        <w:rPr>
          <w:rFonts w:ascii="Times New Roman" w:hAnsi="Times New Roman"/>
          <w:sz w:val="24"/>
          <w:szCs w:val="24"/>
          <w:lang w:val="en-GB"/>
        </w:rPr>
        <w:t xml:space="preserve">application of </w:t>
      </w:r>
      <w:r>
        <w:rPr>
          <w:rFonts w:ascii="Times New Roman" w:hAnsi="Times New Roman"/>
          <w:sz w:val="24"/>
          <w:szCs w:val="24"/>
          <w:lang w:val="en-GB"/>
        </w:rPr>
        <w:t>the Genocide Convention</w:t>
      </w:r>
      <w:r w:rsidR="00960DF3">
        <w:rPr>
          <w:rFonts w:ascii="Times New Roman" w:hAnsi="Times New Roman"/>
          <w:sz w:val="24"/>
          <w:szCs w:val="24"/>
          <w:lang w:val="en-GB"/>
        </w:rPr>
        <w:t xml:space="preserve"> to the </w:t>
      </w:r>
      <w:r w:rsidR="00960DF3">
        <w:rPr>
          <w:rFonts w:ascii="Times New Roman" w:hAnsi="Times New Roman"/>
          <w:sz w:val="24"/>
          <w:szCs w:val="24"/>
          <w:lang w:val="en-GB"/>
        </w:rPr>
        <w:lastRenderedPageBreak/>
        <w:t>Balkan wars of the 1990s</w:t>
      </w:r>
      <w:r>
        <w:rPr>
          <w:rFonts w:ascii="Times New Roman" w:hAnsi="Times New Roman"/>
          <w:sz w:val="24"/>
          <w:szCs w:val="24"/>
          <w:lang w:val="en-GB"/>
        </w:rPr>
        <w:t xml:space="preserve">, in the case of </w:t>
      </w:r>
      <w:r>
        <w:rPr>
          <w:rFonts w:ascii="Times New Roman" w:hAnsi="Times New Roman"/>
          <w:i/>
          <w:sz w:val="24"/>
          <w:szCs w:val="24"/>
          <w:lang w:val="en-GB"/>
        </w:rPr>
        <w:t xml:space="preserve">Croatia </w:t>
      </w:r>
      <w:r>
        <w:rPr>
          <w:rFonts w:ascii="Times New Roman" w:hAnsi="Times New Roman"/>
          <w:sz w:val="24"/>
          <w:szCs w:val="24"/>
          <w:lang w:val="en-GB"/>
        </w:rPr>
        <w:t xml:space="preserve">v. </w:t>
      </w:r>
      <w:r w:rsidRPr="00311DB2">
        <w:rPr>
          <w:rFonts w:ascii="Times New Roman" w:hAnsi="Times New Roman"/>
          <w:i/>
          <w:sz w:val="24"/>
          <w:szCs w:val="24"/>
          <w:lang w:val="en-GB"/>
        </w:rPr>
        <w:t>Serbia</w:t>
      </w:r>
      <w:r>
        <w:rPr>
          <w:rFonts w:ascii="Times New Roman" w:hAnsi="Times New Roman"/>
          <w:sz w:val="24"/>
          <w:szCs w:val="24"/>
          <w:lang w:val="en-GB"/>
        </w:rPr>
        <w:t>.</w:t>
      </w:r>
      <w:r w:rsidR="00D722CE">
        <w:rPr>
          <w:rStyle w:val="FootnoteReference"/>
          <w:rFonts w:ascii="Times New Roman" w:hAnsi="Times New Roman"/>
          <w:sz w:val="24"/>
          <w:szCs w:val="24"/>
          <w:lang w:val="en-GB"/>
        </w:rPr>
        <w:footnoteReference w:id="3"/>
      </w:r>
      <w:r>
        <w:rPr>
          <w:rFonts w:ascii="Times New Roman" w:hAnsi="Times New Roman"/>
          <w:sz w:val="24"/>
          <w:szCs w:val="24"/>
          <w:lang w:val="en-GB"/>
        </w:rPr>
        <w:t xml:space="preserve"> The international case law dealing with genocide </w:t>
      </w:r>
      <w:r w:rsidR="00503F50">
        <w:rPr>
          <w:rFonts w:ascii="Times New Roman" w:hAnsi="Times New Roman"/>
          <w:sz w:val="24"/>
          <w:szCs w:val="24"/>
          <w:lang w:val="en-GB"/>
        </w:rPr>
        <w:t>that was issued over the eight years between the two judgments of the International Cri</w:t>
      </w:r>
      <w:r w:rsidR="00B2312E">
        <w:rPr>
          <w:rFonts w:ascii="Times New Roman" w:hAnsi="Times New Roman"/>
          <w:sz w:val="24"/>
          <w:szCs w:val="24"/>
          <w:lang w:val="en-GB"/>
        </w:rPr>
        <w:t>minal Court is</w:t>
      </w:r>
      <w:r w:rsidR="00503F50">
        <w:rPr>
          <w:rFonts w:ascii="Times New Roman" w:hAnsi="Times New Roman"/>
          <w:sz w:val="24"/>
          <w:szCs w:val="24"/>
          <w:lang w:val="en-GB"/>
        </w:rPr>
        <w:t xml:space="preserve"> the subject matter of this essay.</w:t>
      </w:r>
    </w:p>
    <w:p w14:paraId="5EE7E611" w14:textId="77777777" w:rsidR="00D722CE" w:rsidRPr="00311DB2" w:rsidRDefault="00D722CE" w:rsidP="00C848F4">
      <w:pPr>
        <w:pStyle w:val="xmsonormal"/>
        <w:spacing w:before="0" w:beforeAutospacing="0" w:after="0" w:afterAutospacing="0" w:line="360" w:lineRule="auto"/>
        <w:jc w:val="both"/>
        <w:rPr>
          <w:rFonts w:ascii="Times New Roman" w:hAnsi="Times New Roman"/>
          <w:sz w:val="24"/>
          <w:szCs w:val="24"/>
          <w:lang w:val="en-GB"/>
        </w:rPr>
      </w:pPr>
    </w:p>
    <w:p w14:paraId="7EDC051D" w14:textId="5D812132" w:rsidR="00C848F4" w:rsidRPr="00C848F4" w:rsidRDefault="00C848F4" w:rsidP="00C848F4">
      <w:pPr>
        <w:pStyle w:val="xmsonormal"/>
        <w:keepNext/>
        <w:spacing w:before="0" w:beforeAutospacing="0" w:after="0" w:afterAutospacing="0" w:line="360" w:lineRule="auto"/>
        <w:jc w:val="both"/>
        <w:rPr>
          <w:rFonts w:ascii="Times New Roman" w:hAnsi="Times New Roman"/>
          <w:b/>
          <w:sz w:val="24"/>
          <w:szCs w:val="24"/>
          <w:lang w:val="en-GB"/>
        </w:rPr>
      </w:pPr>
      <w:r w:rsidRPr="00C848F4">
        <w:rPr>
          <w:rFonts w:ascii="Times New Roman" w:hAnsi="Times New Roman"/>
          <w:b/>
          <w:sz w:val="24"/>
          <w:szCs w:val="24"/>
          <w:lang w:val="en-GB"/>
        </w:rPr>
        <w:t>The European Court of Human Rights</w:t>
      </w:r>
    </w:p>
    <w:p w14:paraId="59BD1AAD" w14:textId="77777777" w:rsidR="00C848F4" w:rsidRDefault="00C848F4" w:rsidP="00C848F4">
      <w:pPr>
        <w:pStyle w:val="xmsonormal"/>
        <w:keepNext/>
        <w:spacing w:before="0" w:beforeAutospacing="0" w:after="0" w:afterAutospacing="0" w:line="360" w:lineRule="auto"/>
        <w:jc w:val="both"/>
        <w:rPr>
          <w:rFonts w:ascii="Times New Roman" w:hAnsi="Times New Roman"/>
          <w:sz w:val="24"/>
          <w:szCs w:val="24"/>
          <w:lang w:val="en-GB"/>
        </w:rPr>
      </w:pPr>
    </w:p>
    <w:p w14:paraId="5A526FB0" w14:textId="310626D2" w:rsidR="00C848F4" w:rsidRDefault="00013B42" w:rsidP="00C848F4">
      <w:pPr>
        <w:pStyle w:val="xmsonormal"/>
        <w:spacing w:before="0" w:beforeAutospacing="0" w:after="0" w:afterAutospacing="0" w:line="360" w:lineRule="auto"/>
        <w:jc w:val="both"/>
        <w:rPr>
          <w:rFonts w:ascii="Times New Roman" w:hAnsi="Times New Roman"/>
          <w:sz w:val="24"/>
          <w:szCs w:val="24"/>
          <w:lang w:val="en-GB"/>
        </w:rPr>
      </w:pPr>
      <w:r>
        <w:rPr>
          <w:rFonts w:ascii="Times New Roman" w:hAnsi="Times New Roman"/>
          <w:sz w:val="24"/>
          <w:szCs w:val="24"/>
        </w:rPr>
        <w:t xml:space="preserve">The </w:t>
      </w:r>
      <w:r w:rsidRPr="00482885">
        <w:rPr>
          <w:rFonts w:ascii="Times New Roman" w:hAnsi="Times New Roman"/>
          <w:sz w:val="24"/>
          <w:szCs w:val="24"/>
        </w:rPr>
        <w:t>European Court of Human Rights</w:t>
      </w:r>
      <w:r>
        <w:rPr>
          <w:rFonts w:ascii="Times New Roman" w:hAnsi="Times New Roman"/>
          <w:sz w:val="24"/>
          <w:szCs w:val="24"/>
        </w:rPr>
        <w:t xml:space="preserve"> </w:t>
      </w:r>
      <w:r w:rsidRPr="00482885">
        <w:rPr>
          <w:rFonts w:ascii="Times New Roman" w:hAnsi="Times New Roman"/>
          <w:sz w:val="24"/>
          <w:szCs w:val="24"/>
        </w:rPr>
        <w:t xml:space="preserve">was the first international </w:t>
      </w:r>
      <w:r>
        <w:rPr>
          <w:rFonts w:ascii="Times New Roman" w:hAnsi="Times New Roman"/>
          <w:sz w:val="24"/>
          <w:szCs w:val="24"/>
        </w:rPr>
        <w:t>judicial body</w:t>
      </w:r>
      <w:r w:rsidRPr="00482885">
        <w:rPr>
          <w:rFonts w:ascii="Times New Roman" w:hAnsi="Times New Roman"/>
          <w:sz w:val="24"/>
          <w:szCs w:val="24"/>
        </w:rPr>
        <w:t xml:space="preserve"> to consider</w:t>
      </w:r>
      <w:r>
        <w:rPr>
          <w:rFonts w:ascii="Times New Roman" w:hAnsi="Times New Roman"/>
          <w:sz w:val="24"/>
          <w:szCs w:val="24"/>
        </w:rPr>
        <w:t xml:space="preserve"> </w:t>
      </w:r>
      <w:r w:rsidRPr="00482885">
        <w:rPr>
          <w:rFonts w:ascii="Times New Roman" w:hAnsi="Times New Roman"/>
          <w:sz w:val="24"/>
          <w:szCs w:val="24"/>
        </w:rPr>
        <w:t xml:space="preserve">the </w:t>
      </w:r>
      <w:r>
        <w:rPr>
          <w:rFonts w:ascii="Times New Roman" w:hAnsi="Times New Roman"/>
          <w:sz w:val="24"/>
          <w:szCs w:val="24"/>
        </w:rPr>
        <w:t xml:space="preserve">2007 </w:t>
      </w:r>
      <w:r w:rsidRPr="00482885">
        <w:rPr>
          <w:rFonts w:ascii="Times New Roman" w:hAnsi="Times New Roman"/>
          <w:sz w:val="24"/>
          <w:szCs w:val="24"/>
        </w:rPr>
        <w:t xml:space="preserve">judgment of the </w:t>
      </w:r>
      <w:r w:rsidR="00C848F4">
        <w:rPr>
          <w:rFonts w:ascii="Times New Roman" w:hAnsi="Times New Roman"/>
          <w:sz w:val="24"/>
          <w:szCs w:val="24"/>
        </w:rPr>
        <w:t>International Court of Justice</w:t>
      </w:r>
      <w:r w:rsidRPr="00482885">
        <w:rPr>
          <w:rFonts w:ascii="Times New Roman" w:hAnsi="Times New Roman"/>
          <w:sz w:val="24"/>
          <w:szCs w:val="24"/>
        </w:rPr>
        <w:t>.</w:t>
      </w:r>
      <w:r>
        <w:rPr>
          <w:rFonts w:ascii="Times New Roman" w:hAnsi="Times New Roman"/>
          <w:sz w:val="24"/>
          <w:szCs w:val="24"/>
        </w:rPr>
        <w:t xml:space="preserve"> </w:t>
      </w:r>
      <w:r w:rsidR="00C848F4">
        <w:rPr>
          <w:rFonts w:ascii="Times New Roman" w:hAnsi="Times New Roman"/>
          <w:sz w:val="24"/>
          <w:szCs w:val="24"/>
        </w:rPr>
        <w:t>The case</w:t>
      </w:r>
      <w:r w:rsidR="00ED2D00">
        <w:rPr>
          <w:rFonts w:ascii="Times New Roman" w:hAnsi="Times New Roman"/>
          <w:sz w:val="24"/>
          <w:szCs w:val="24"/>
        </w:rPr>
        <w:t xml:space="preserve">, </w:t>
      </w:r>
      <w:proofErr w:type="spellStart"/>
      <w:r w:rsidR="00ED2D00" w:rsidRPr="00ED2D00">
        <w:rPr>
          <w:rFonts w:ascii="Times New Roman" w:hAnsi="Times New Roman"/>
          <w:i/>
          <w:sz w:val="24"/>
          <w:szCs w:val="24"/>
        </w:rPr>
        <w:t>Jorgić</w:t>
      </w:r>
      <w:proofErr w:type="spellEnd"/>
      <w:r w:rsidR="00ED2D00" w:rsidRPr="00ED2D00">
        <w:rPr>
          <w:rFonts w:ascii="Times New Roman" w:hAnsi="Times New Roman"/>
          <w:i/>
          <w:sz w:val="24"/>
          <w:szCs w:val="24"/>
        </w:rPr>
        <w:t xml:space="preserve"> v. Germany</w:t>
      </w:r>
      <w:r w:rsidR="00ED2D00">
        <w:rPr>
          <w:rFonts w:ascii="Times New Roman" w:hAnsi="Times New Roman"/>
          <w:sz w:val="24"/>
          <w:szCs w:val="24"/>
        </w:rPr>
        <w:t>,</w:t>
      </w:r>
      <w:r w:rsidR="00C848F4">
        <w:rPr>
          <w:rFonts w:ascii="Times New Roman" w:hAnsi="Times New Roman"/>
          <w:sz w:val="24"/>
          <w:szCs w:val="24"/>
        </w:rPr>
        <w:t xml:space="preserve"> involved</w:t>
      </w:r>
      <w:r w:rsidRPr="00442018">
        <w:rPr>
          <w:rFonts w:ascii="Times New Roman" w:hAnsi="Times New Roman"/>
          <w:sz w:val="24"/>
          <w:szCs w:val="24"/>
        </w:rPr>
        <w:t xml:space="preserve"> the application of article 7 of the European Convention on Human Rights. </w:t>
      </w:r>
      <w:r w:rsidR="00A374C3">
        <w:rPr>
          <w:rFonts w:ascii="Times New Roman" w:hAnsi="Times New Roman"/>
          <w:sz w:val="24"/>
          <w:szCs w:val="24"/>
        </w:rPr>
        <w:t>Article 7</w:t>
      </w:r>
      <w:r w:rsidRPr="00442018">
        <w:rPr>
          <w:rFonts w:ascii="Times New Roman" w:hAnsi="Times New Roman"/>
          <w:sz w:val="24"/>
          <w:szCs w:val="24"/>
        </w:rPr>
        <w:t xml:space="preserve"> enshrines the principle of legality and is very similar to provisions in other international instruments, such as article 11(2) of the Universal Declaration of Human Rights and article 15 of the International Covenant on Civil and Political Rights. </w:t>
      </w:r>
      <w:proofErr w:type="spellStart"/>
      <w:r w:rsidRPr="00442018">
        <w:rPr>
          <w:rFonts w:ascii="Times New Roman" w:hAnsi="Times New Roman"/>
          <w:sz w:val="24"/>
          <w:szCs w:val="24"/>
        </w:rPr>
        <w:t>Jorgić</w:t>
      </w:r>
      <w:proofErr w:type="spellEnd"/>
      <w:r w:rsidRPr="00442018">
        <w:rPr>
          <w:rFonts w:ascii="Times New Roman" w:hAnsi="Times New Roman"/>
          <w:sz w:val="24"/>
          <w:szCs w:val="24"/>
        </w:rPr>
        <w:t xml:space="preserve"> had been prosecute</w:t>
      </w:r>
      <w:r w:rsidR="00C848F4">
        <w:rPr>
          <w:rFonts w:ascii="Times New Roman" w:hAnsi="Times New Roman"/>
          <w:sz w:val="24"/>
          <w:szCs w:val="24"/>
        </w:rPr>
        <w:t>d in Germany pursuant to German</w:t>
      </w:r>
      <w:r w:rsidRPr="00442018">
        <w:rPr>
          <w:rFonts w:ascii="Times New Roman" w:hAnsi="Times New Roman"/>
          <w:sz w:val="24"/>
          <w:szCs w:val="24"/>
        </w:rPr>
        <w:t xml:space="preserve"> law for crimes perpetrated in Bosnia and Herzegovina during the 1992-1995 war, including genocide. He was convicted </w:t>
      </w:r>
      <w:r w:rsidR="00ED2D00">
        <w:rPr>
          <w:rFonts w:ascii="Times New Roman" w:hAnsi="Times New Roman"/>
          <w:sz w:val="24"/>
          <w:szCs w:val="24"/>
        </w:rPr>
        <w:t>of</w:t>
      </w:r>
      <w:r w:rsidRPr="00442018">
        <w:rPr>
          <w:rFonts w:ascii="Times New Roman" w:hAnsi="Times New Roman"/>
          <w:sz w:val="24"/>
          <w:szCs w:val="24"/>
        </w:rPr>
        <w:t xml:space="preserve"> acts of ‘ethnic cleansing’ pursuant to what the European Court described as a ‘wide interpretation of the “intent to destroy”’</w:t>
      </w:r>
      <w:r w:rsidR="007263BC">
        <w:rPr>
          <w:rFonts w:ascii="Times New Roman" w:hAnsi="Times New Roman"/>
          <w:sz w:val="24"/>
          <w:szCs w:val="24"/>
        </w:rPr>
        <w:t xml:space="preserve"> as set out in</w:t>
      </w:r>
      <w:r w:rsidRPr="00442018">
        <w:rPr>
          <w:rFonts w:ascii="Times New Roman" w:hAnsi="Times New Roman"/>
          <w:sz w:val="24"/>
          <w:szCs w:val="24"/>
        </w:rPr>
        <w:t xml:space="preserve"> </w:t>
      </w:r>
      <w:r w:rsidR="007263BC">
        <w:rPr>
          <w:rFonts w:ascii="Times New Roman" w:hAnsi="Times New Roman"/>
          <w:sz w:val="24"/>
          <w:szCs w:val="24"/>
        </w:rPr>
        <w:t>a</w:t>
      </w:r>
      <w:r w:rsidRPr="00442018">
        <w:rPr>
          <w:rFonts w:ascii="Times New Roman" w:hAnsi="Times New Roman"/>
          <w:sz w:val="24"/>
          <w:szCs w:val="24"/>
        </w:rPr>
        <w:t xml:space="preserve">rticle 2 of the </w:t>
      </w:r>
      <w:r w:rsidR="00ED2D00">
        <w:rPr>
          <w:rFonts w:ascii="Times New Roman" w:hAnsi="Times New Roman"/>
          <w:sz w:val="24"/>
          <w:szCs w:val="24"/>
        </w:rPr>
        <w:t xml:space="preserve">Genocide </w:t>
      </w:r>
      <w:r w:rsidRPr="00442018">
        <w:rPr>
          <w:rFonts w:ascii="Times New Roman" w:hAnsi="Times New Roman"/>
          <w:sz w:val="24"/>
          <w:szCs w:val="24"/>
        </w:rPr>
        <w:t>Convention.</w:t>
      </w:r>
      <w:r w:rsidRPr="00442018">
        <w:rPr>
          <w:rStyle w:val="FootnoteReference"/>
          <w:rFonts w:ascii="Times New Roman" w:hAnsi="Times New Roman"/>
          <w:sz w:val="24"/>
          <w:szCs w:val="24"/>
        </w:rPr>
        <w:footnoteReference w:id="4"/>
      </w:r>
      <w:r w:rsidRPr="00442018">
        <w:rPr>
          <w:rFonts w:ascii="Times New Roman" w:hAnsi="Times New Roman"/>
          <w:sz w:val="24"/>
          <w:szCs w:val="24"/>
        </w:rPr>
        <w:t xml:space="preserve"> Before the European Court </w:t>
      </w:r>
      <w:proofErr w:type="spellStart"/>
      <w:r w:rsidR="007263BC" w:rsidRPr="00442018">
        <w:rPr>
          <w:rFonts w:ascii="Times New Roman" w:hAnsi="Times New Roman"/>
          <w:sz w:val="24"/>
          <w:szCs w:val="24"/>
        </w:rPr>
        <w:t>Jorgić</w:t>
      </w:r>
      <w:proofErr w:type="spellEnd"/>
      <w:r w:rsidRPr="00442018">
        <w:rPr>
          <w:rFonts w:ascii="Times New Roman" w:hAnsi="Times New Roman"/>
          <w:sz w:val="24"/>
          <w:szCs w:val="24"/>
        </w:rPr>
        <w:t xml:space="preserve"> argued that the German courts did not respect the principle of legality.</w:t>
      </w:r>
    </w:p>
    <w:p w14:paraId="733D7BBA" w14:textId="454F0E3C" w:rsidR="00013B42" w:rsidRPr="00442018" w:rsidRDefault="00013B42" w:rsidP="00C848F4">
      <w:pPr>
        <w:pStyle w:val="xmsonormal"/>
        <w:spacing w:before="0" w:beforeAutospacing="0" w:after="0" w:afterAutospacing="0" w:line="360" w:lineRule="auto"/>
        <w:ind w:firstLine="720"/>
        <w:jc w:val="both"/>
        <w:rPr>
          <w:rFonts w:ascii="Times New Roman" w:hAnsi="Times New Roman"/>
          <w:sz w:val="24"/>
          <w:szCs w:val="24"/>
          <w:lang w:val="en-GB"/>
        </w:rPr>
      </w:pPr>
      <w:r w:rsidRPr="00442018">
        <w:rPr>
          <w:rFonts w:ascii="Times New Roman" w:hAnsi="Times New Roman"/>
          <w:sz w:val="24"/>
          <w:szCs w:val="24"/>
        </w:rPr>
        <w:t xml:space="preserve">In reviewing the relevant legal sources, something that is a typical feature of its judgments, the </w:t>
      </w:r>
      <w:r w:rsidR="00C848F4">
        <w:rPr>
          <w:rFonts w:ascii="Times New Roman" w:hAnsi="Times New Roman"/>
          <w:sz w:val="24"/>
          <w:szCs w:val="24"/>
        </w:rPr>
        <w:t>Court</w:t>
      </w:r>
      <w:r w:rsidRPr="00442018">
        <w:rPr>
          <w:rFonts w:ascii="Times New Roman" w:hAnsi="Times New Roman"/>
          <w:sz w:val="24"/>
          <w:szCs w:val="24"/>
        </w:rPr>
        <w:t xml:space="preserve"> cited an excerpt from paragraph 190 of </w:t>
      </w:r>
      <w:r w:rsidR="00C848F4">
        <w:rPr>
          <w:rFonts w:ascii="Times New Roman" w:hAnsi="Times New Roman"/>
          <w:sz w:val="24"/>
          <w:szCs w:val="24"/>
        </w:rPr>
        <w:t>the</w:t>
      </w:r>
      <w:r w:rsidRPr="00442018">
        <w:rPr>
          <w:rFonts w:ascii="Times New Roman" w:hAnsi="Times New Roman"/>
          <w:sz w:val="24"/>
          <w:szCs w:val="24"/>
        </w:rPr>
        <w:t xml:space="preserve"> judgment</w:t>
      </w:r>
      <w:r w:rsidR="00C848F4">
        <w:rPr>
          <w:rFonts w:ascii="Times New Roman" w:hAnsi="Times New Roman"/>
          <w:sz w:val="24"/>
          <w:szCs w:val="24"/>
        </w:rPr>
        <w:t xml:space="preserve"> of the International Court of Justice, where </w:t>
      </w:r>
      <w:r w:rsidRPr="00442018">
        <w:rPr>
          <w:rFonts w:ascii="Times New Roman" w:hAnsi="Times New Roman"/>
          <w:sz w:val="24"/>
          <w:szCs w:val="24"/>
        </w:rPr>
        <w:t>the notion of ‘ethnic cleansing’ is discussed</w:t>
      </w:r>
      <w:r w:rsidR="00C848F4">
        <w:rPr>
          <w:rFonts w:ascii="Times New Roman" w:hAnsi="Times New Roman"/>
          <w:sz w:val="24"/>
          <w:szCs w:val="24"/>
        </w:rPr>
        <w:t>. According to the International Court of Justice</w:t>
      </w:r>
      <w:r w:rsidRPr="00442018">
        <w:rPr>
          <w:rFonts w:ascii="Times New Roman" w:hAnsi="Times New Roman"/>
          <w:sz w:val="24"/>
          <w:szCs w:val="24"/>
        </w:rPr>
        <w:t>: ‘This is not to say that acts described as “ethnic cleansing” may never constitute genocide, if they are such as to be characterized as, for example, “deliberately inflicting on the group conditions of life calculated to bring about its physical destruction in whole or in part”, contrary to Article II, paragraph (c), of the Convention, provided such action is carried out with the necessary specific intent (</w:t>
      </w:r>
      <w:proofErr w:type="spellStart"/>
      <w:r w:rsidRPr="00442018">
        <w:rPr>
          <w:rFonts w:ascii="Times New Roman" w:hAnsi="Times New Roman"/>
          <w:sz w:val="24"/>
          <w:szCs w:val="24"/>
        </w:rPr>
        <w:t>dolus</w:t>
      </w:r>
      <w:proofErr w:type="spellEnd"/>
      <w:r w:rsidRPr="00442018">
        <w:rPr>
          <w:rFonts w:ascii="Times New Roman" w:hAnsi="Times New Roman"/>
          <w:sz w:val="24"/>
          <w:szCs w:val="24"/>
        </w:rPr>
        <w:t xml:space="preserve"> specialis), that is to say with a view to the destruction of the group…’</w:t>
      </w:r>
      <w:r w:rsidRPr="00442018">
        <w:rPr>
          <w:rStyle w:val="FootnoteReference"/>
          <w:rFonts w:ascii="Times New Roman" w:hAnsi="Times New Roman"/>
          <w:sz w:val="24"/>
          <w:szCs w:val="24"/>
        </w:rPr>
        <w:footnoteReference w:id="5"/>
      </w:r>
      <w:r w:rsidRPr="00442018">
        <w:rPr>
          <w:rFonts w:ascii="Times New Roman" w:hAnsi="Times New Roman"/>
          <w:sz w:val="24"/>
          <w:szCs w:val="24"/>
        </w:rPr>
        <w:t xml:space="preserve"> </w:t>
      </w:r>
    </w:p>
    <w:p w14:paraId="2F778ECB" w14:textId="01B56E52" w:rsidR="00C848F4" w:rsidRDefault="00013B42" w:rsidP="00C848F4">
      <w:pPr>
        <w:pStyle w:val="xmsonormal"/>
        <w:spacing w:before="0" w:beforeAutospacing="0" w:after="0" w:afterAutospacing="0" w:line="360" w:lineRule="auto"/>
        <w:ind w:firstLine="720"/>
        <w:jc w:val="both"/>
        <w:rPr>
          <w:rFonts w:ascii="Times New Roman" w:hAnsi="Times New Roman"/>
          <w:sz w:val="24"/>
          <w:szCs w:val="24"/>
          <w:lang w:val="en-GB"/>
        </w:rPr>
      </w:pPr>
      <w:r w:rsidRPr="00442018">
        <w:rPr>
          <w:rFonts w:ascii="Times New Roman" w:hAnsi="Times New Roman"/>
          <w:sz w:val="24"/>
          <w:szCs w:val="24"/>
        </w:rPr>
        <w:t xml:space="preserve">The </w:t>
      </w:r>
      <w:r w:rsidR="00C848F4">
        <w:rPr>
          <w:rFonts w:ascii="Times New Roman" w:hAnsi="Times New Roman"/>
          <w:sz w:val="24"/>
          <w:szCs w:val="24"/>
        </w:rPr>
        <w:t>European Court of Human Rights</w:t>
      </w:r>
      <w:r w:rsidRPr="00442018">
        <w:rPr>
          <w:rFonts w:ascii="Times New Roman" w:hAnsi="Times New Roman"/>
          <w:sz w:val="24"/>
          <w:szCs w:val="24"/>
        </w:rPr>
        <w:t xml:space="preserve"> noted that the case law of the </w:t>
      </w:r>
      <w:r w:rsidR="00C848F4">
        <w:rPr>
          <w:rFonts w:ascii="Times New Roman" w:hAnsi="Times New Roman"/>
          <w:sz w:val="24"/>
          <w:szCs w:val="24"/>
        </w:rPr>
        <w:t>International Criminal Tribunal for the former Yugoslavia</w:t>
      </w:r>
      <w:r w:rsidRPr="00442018">
        <w:rPr>
          <w:rFonts w:ascii="Times New Roman" w:hAnsi="Times New Roman"/>
          <w:sz w:val="24"/>
          <w:szCs w:val="24"/>
        </w:rPr>
        <w:t xml:space="preserve"> supported a narrow interpretation whereby genocide ‘as defined in public international law, comprised </w:t>
      </w:r>
      <w:r w:rsidRPr="00442018">
        <w:rPr>
          <w:rFonts w:ascii="Times New Roman" w:hAnsi="Times New Roman"/>
          <w:sz w:val="24"/>
          <w:szCs w:val="24"/>
        </w:rPr>
        <w:lastRenderedPageBreak/>
        <w:t>only acts aimed at the physical or biological destruction of a protected group’.</w:t>
      </w:r>
      <w:r w:rsidRPr="00442018">
        <w:rPr>
          <w:rStyle w:val="FootnoteReference"/>
          <w:rFonts w:ascii="Times New Roman" w:hAnsi="Times New Roman"/>
          <w:sz w:val="24"/>
          <w:szCs w:val="24"/>
        </w:rPr>
        <w:footnoteReference w:id="6"/>
      </w:r>
      <w:r w:rsidRPr="00442018">
        <w:rPr>
          <w:rFonts w:ascii="Times New Roman" w:hAnsi="Times New Roman"/>
          <w:sz w:val="24"/>
          <w:szCs w:val="24"/>
        </w:rPr>
        <w:t xml:space="preserve"> But it said that </w:t>
      </w:r>
      <w:r w:rsidR="00ED2D00">
        <w:rPr>
          <w:rFonts w:ascii="Times New Roman" w:hAnsi="Times New Roman"/>
          <w:sz w:val="24"/>
          <w:szCs w:val="24"/>
        </w:rPr>
        <w:t xml:space="preserve">because </w:t>
      </w:r>
      <w:r w:rsidRPr="00442018">
        <w:rPr>
          <w:rFonts w:ascii="Times New Roman" w:hAnsi="Times New Roman"/>
          <w:sz w:val="24"/>
          <w:szCs w:val="24"/>
        </w:rPr>
        <w:t>the Tribunal’s interpretation of the scope of genocide, as well as other decisions taken by national and international courts, ‘in particular the International Court of Justice’, had been delivered subsequent to the commission of his offences, ‘the applicant could not rely on this interpretation being taken by the German courts in respect of German law at the material time, that is, when he committed his offences’.</w:t>
      </w:r>
      <w:r w:rsidRPr="00442018">
        <w:rPr>
          <w:rStyle w:val="FootnoteReference"/>
          <w:rFonts w:ascii="Times New Roman" w:hAnsi="Times New Roman"/>
          <w:sz w:val="24"/>
          <w:szCs w:val="24"/>
        </w:rPr>
        <w:footnoteReference w:id="7"/>
      </w:r>
      <w:r w:rsidRPr="00442018">
        <w:rPr>
          <w:rFonts w:ascii="Times New Roman" w:hAnsi="Times New Roman"/>
          <w:sz w:val="24"/>
          <w:szCs w:val="24"/>
        </w:rPr>
        <w:t xml:space="preserve"> Thus, in the </w:t>
      </w:r>
      <w:proofErr w:type="spellStart"/>
      <w:r w:rsidRPr="00442018">
        <w:rPr>
          <w:rFonts w:ascii="Times New Roman" w:hAnsi="Times New Roman"/>
          <w:i/>
          <w:sz w:val="24"/>
          <w:szCs w:val="24"/>
        </w:rPr>
        <w:t>Jorgić</w:t>
      </w:r>
      <w:proofErr w:type="spellEnd"/>
      <w:r w:rsidRPr="00442018">
        <w:rPr>
          <w:rFonts w:ascii="Times New Roman" w:hAnsi="Times New Roman"/>
          <w:i/>
          <w:sz w:val="24"/>
          <w:szCs w:val="24"/>
        </w:rPr>
        <w:t xml:space="preserve"> </w:t>
      </w:r>
      <w:r w:rsidRPr="00442018">
        <w:rPr>
          <w:rFonts w:ascii="Times New Roman" w:hAnsi="Times New Roman"/>
          <w:sz w:val="24"/>
          <w:szCs w:val="24"/>
        </w:rPr>
        <w:t xml:space="preserve">case the European Court held that a conviction by German courts based upon a broader construction of the scope of genocide than that espoused by the </w:t>
      </w:r>
      <w:r w:rsidR="00C848F4">
        <w:rPr>
          <w:rFonts w:ascii="Times New Roman" w:hAnsi="Times New Roman"/>
          <w:sz w:val="24"/>
          <w:szCs w:val="24"/>
        </w:rPr>
        <w:t>International Criminal Tribunal for the former Yugoslavia</w:t>
      </w:r>
      <w:r w:rsidRPr="00442018">
        <w:rPr>
          <w:rFonts w:ascii="Times New Roman" w:hAnsi="Times New Roman"/>
          <w:sz w:val="24"/>
          <w:szCs w:val="24"/>
        </w:rPr>
        <w:t xml:space="preserve"> as well as by </w:t>
      </w:r>
      <w:r w:rsidR="00C848F4">
        <w:rPr>
          <w:rFonts w:ascii="Times New Roman" w:hAnsi="Times New Roman"/>
          <w:sz w:val="24"/>
          <w:szCs w:val="24"/>
        </w:rPr>
        <w:t>the International Court of Justice</w:t>
      </w:r>
      <w:r w:rsidRPr="00442018">
        <w:rPr>
          <w:rFonts w:ascii="Times New Roman" w:hAnsi="Times New Roman"/>
          <w:sz w:val="24"/>
          <w:szCs w:val="24"/>
        </w:rPr>
        <w:t xml:space="preserve"> in the February 2007 judgment did not vio</w:t>
      </w:r>
      <w:r w:rsidR="00FE78FF">
        <w:rPr>
          <w:rFonts w:ascii="Times New Roman" w:hAnsi="Times New Roman"/>
          <w:sz w:val="24"/>
          <w:szCs w:val="24"/>
        </w:rPr>
        <w:t>late the principle of legality.</w:t>
      </w:r>
    </w:p>
    <w:p w14:paraId="58E14F43" w14:textId="22E87C29" w:rsidR="00C848F4" w:rsidRDefault="00013B42" w:rsidP="00C848F4">
      <w:pPr>
        <w:pStyle w:val="xmsonormal"/>
        <w:spacing w:before="0" w:beforeAutospacing="0" w:after="0" w:afterAutospacing="0" w:line="360" w:lineRule="auto"/>
        <w:ind w:firstLine="720"/>
        <w:jc w:val="both"/>
        <w:rPr>
          <w:rFonts w:ascii="Times New Roman" w:hAnsi="Times New Roman"/>
          <w:sz w:val="24"/>
          <w:szCs w:val="24"/>
          <w:lang w:val="en-GB"/>
        </w:rPr>
      </w:pPr>
      <w:r w:rsidRPr="00442018">
        <w:rPr>
          <w:rFonts w:ascii="Times New Roman" w:hAnsi="Times New Roman"/>
          <w:sz w:val="24"/>
          <w:szCs w:val="24"/>
        </w:rPr>
        <w:t xml:space="preserve">There is also a lengthy reference to the 2007 judgment of </w:t>
      </w:r>
      <w:r w:rsidR="0042210C">
        <w:rPr>
          <w:rFonts w:ascii="Times New Roman" w:hAnsi="Times New Roman"/>
          <w:sz w:val="24"/>
          <w:szCs w:val="24"/>
        </w:rPr>
        <w:t>the International Court of Justi</w:t>
      </w:r>
      <w:r w:rsidR="00C848F4">
        <w:rPr>
          <w:rFonts w:ascii="Times New Roman" w:hAnsi="Times New Roman"/>
          <w:sz w:val="24"/>
          <w:szCs w:val="24"/>
        </w:rPr>
        <w:t>ce</w:t>
      </w:r>
      <w:r w:rsidRPr="00442018">
        <w:rPr>
          <w:rFonts w:ascii="Times New Roman" w:hAnsi="Times New Roman"/>
          <w:sz w:val="24"/>
          <w:szCs w:val="24"/>
        </w:rPr>
        <w:t xml:space="preserve"> in an admissibility decision of the </w:t>
      </w:r>
      <w:r w:rsidR="0042210C">
        <w:rPr>
          <w:rFonts w:ascii="Times New Roman" w:hAnsi="Times New Roman"/>
          <w:sz w:val="24"/>
          <w:szCs w:val="24"/>
        </w:rPr>
        <w:t>European Court of Human Rights</w:t>
      </w:r>
      <w:r w:rsidRPr="00442018">
        <w:rPr>
          <w:rFonts w:ascii="Times New Roman" w:hAnsi="Times New Roman"/>
          <w:sz w:val="24"/>
          <w:szCs w:val="24"/>
        </w:rPr>
        <w:t xml:space="preserve"> issued in July 2013. </w:t>
      </w:r>
      <w:proofErr w:type="gramStart"/>
      <w:r w:rsidRPr="00442018">
        <w:rPr>
          <w:rFonts w:ascii="Times New Roman" w:hAnsi="Times New Roman"/>
          <w:sz w:val="24"/>
          <w:szCs w:val="24"/>
        </w:rPr>
        <w:t>The application was submitted by an association of survivors of the Srebrenica massacre</w:t>
      </w:r>
      <w:proofErr w:type="gramEnd"/>
      <w:r w:rsidRPr="00442018">
        <w:rPr>
          <w:rFonts w:ascii="Times New Roman" w:hAnsi="Times New Roman"/>
          <w:sz w:val="24"/>
          <w:szCs w:val="24"/>
        </w:rPr>
        <w:t>. It was directed against the Netherlands and concerned conduct attributed to the Dutch units of United Nations peacekeeping troops. A seven-judge Chamber of the European Court</w:t>
      </w:r>
      <w:r w:rsidR="00FE78FF">
        <w:rPr>
          <w:rFonts w:ascii="Times New Roman" w:hAnsi="Times New Roman"/>
          <w:sz w:val="24"/>
          <w:szCs w:val="24"/>
        </w:rPr>
        <w:t xml:space="preserve"> of Human Rights</w:t>
      </w:r>
      <w:r w:rsidRPr="00442018">
        <w:rPr>
          <w:rFonts w:ascii="Times New Roman" w:hAnsi="Times New Roman"/>
          <w:sz w:val="24"/>
          <w:szCs w:val="24"/>
        </w:rPr>
        <w:t xml:space="preserve"> reviewed a range of legal materials concerning Srebrenica including relevant judgments of various courts and tribunals, such as the </w:t>
      </w:r>
      <w:r w:rsidR="00C848F4">
        <w:rPr>
          <w:rFonts w:ascii="Times New Roman" w:hAnsi="Times New Roman"/>
          <w:sz w:val="24"/>
          <w:szCs w:val="24"/>
        </w:rPr>
        <w:t>International Criminal Tribunal for the former Yugoslavia</w:t>
      </w:r>
      <w:r w:rsidR="00FE78FF">
        <w:rPr>
          <w:rFonts w:ascii="Times New Roman" w:hAnsi="Times New Roman"/>
          <w:sz w:val="24"/>
          <w:szCs w:val="24"/>
        </w:rPr>
        <w:t xml:space="preserve"> and</w:t>
      </w:r>
      <w:r w:rsidRPr="00442018">
        <w:rPr>
          <w:rFonts w:ascii="Times New Roman" w:hAnsi="Times New Roman"/>
          <w:sz w:val="24"/>
          <w:szCs w:val="24"/>
        </w:rPr>
        <w:t xml:space="preserve"> the Human Rights Ch</w:t>
      </w:r>
      <w:r w:rsidR="00FE78FF">
        <w:rPr>
          <w:rFonts w:ascii="Times New Roman" w:hAnsi="Times New Roman"/>
          <w:sz w:val="24"/>
          <w:szCs w:val="24"/>
        </w:rPr>
        <w:t>amber of Bosnia and Herzegovina</w:t>
      </w:r>
      <w:r w:rsidRPr="00442018">
        <w:rPr>
          <w:rFonts w:ascii="Times New Roman" w:hAnsi="Times New Roman"/>
          <w:sz w:val="24"/>
          <w:szCs w:val="24"/>
        </w:rPr>
        <w:t xml:space="preserve">. The admissibility decision contains a five-paragraph overview of the February 2007 judgment of </w:t>
      </w:r>
      <w:r w:rsidR="00C848F4">
        <w:rPr>
          <w:rFonts w:ascii="Times New Roman" w:hAnsi="Times New Roman"/>
          <w:sz w:val="24"/>
          <w:szCs w:val="24"/>
        </w:rPr>
        <w:t>the International Court of Justice</w:t>
      </w:r>
      <w:r w:rsidRPr="00442018">
        <w:rPr>
          <w:rFonts w:ascii="Times New Roman" w:hAnsi="Times New Roman"/>
          <w:sz w:val="24"/>
          <w:szCs w:val="24"/>
        </w:rPr>
        <w:t>.</w:t>
      </w:r>
      <w:r w:rsidRPr="00442018">
        <w:rPr>
          <w:rStyle w:val="FootnoteReference"/>
          <w:rFonts w:ascii="Times New Roman" w:hAnsi="Times New Roman"/>
          <w:sz w:val="24"/>
          <w:szCs w:val="24"/>
        </w:rPr>
        <w:footnoteReference w:id="8"/>
      </w:r>
      <w:r w:rsidRPr="00442018">
        <w:rPr>
          <w:rFonts w:ascii="Times New Roman" w:hAnsi="Times New Roman"/>
          <w:sz w:val="24"/>
          <w:szCs w:val="24"/>
        </w:rPr>
        <w:t xml:space="preserve"> The </w:t>
      </w:r>
      <w:r w:rsidR="00FE78FF">
        <w:rPr>
          <w:rFonts w:ascii="Times New Roman" w:hAnsi="Times New Roman"/>
          <w:sz w:val="24"/>
          <w:szCs w:val="24"/>
        </w:rPr>
        <w:t>Court</w:t>
      </w:r>
      <w:r w:rsidRPr="00442018">
        <w:rPr>
          <w:rFonts w:ascii="Times New Roman" w:hAnsi="Times New Roman"/>
          <w:sz w:val="24"/>
          <w:szCs w:val="24"/>
        </w:rPr>
        <w:t xml:space="preserve"> declared the case inadmissible based upon the immunities of the United Nations. Aside from a summary of the judgment of the </w:t>
      </w:r>
      <w:r w:rsidR="00C848F4">
        <w:rPr>
          <w:rFonts w:ascii="Times New Roman" w:hAnsi="Times New Roman"/>
          <w:sz w:val="24"/>
          <w:szCs w:val="24"/>
        </w:rPr>
        <w:t>International Court of Justice</w:t>
      </w:r>
      <w:r w:rsidRPr="00442018">
        <w:rPr>
          <w:rFonts w:ascii="Times New Roman" w:hAnsi="Times New Roman"/>
          <w:sz w:val="24"/>
          <w:szCs w:val="24"/>
        </w:rPr>
        <w:t xml:space="preserve"> in the </w:t>
      </w:r>
      <w:r w:rsidRPr="00442018">
        <w:rPr>
          <w:rFonts w:ascii="Times New Roman" w:hAnsi="Times New Roman"/>
          <w:i/>
          <w:sz w:val="24"/>
          <w:szCs w:val="24"/>
        </w:rPr>
        <w:t>Bosnia</w:t>
      </w:r>
      <w:r>
        <w:rPr>
          <w:rFonts w:ascii="Times New Roman" w:hAnsi="Times New Roman"/>
          <w:i/>
          <w:sz w:val="24"/>
          <w:szCs w:val="24"/>
        </w:rPr>
        <w:t xml:space="preserve"> </w:t>
      </w:r>
      <w:r w:rsidRPr="00442018">
        <w:rPr>
          <w:rFonts w:ascii="Times New Roman" w:hAnsi="Times New Roman"/>
          <w:sz w:val="24"/>
          <w:szCs w:val="24"/>
        </w:rPr>
        <w:t xml:space="preserve">case, presented as background, the </w:t>
      </w:r>
      <w:r w:rsidR="00C848F4">
        <w:rPr>
          <w:rFonts w:ascii="Times New Roman" w:hAnsi="Times New Roman"/>
          <w:sz w:val="24"/>
          <w:szCs w:val="24"/>
        </w:rPr>
        <w:t>European Court</w:t>
      </w:r>
      <w:r w:rsidRPr="00442018">
        <w:rPr>
          <w:rFonts w:ascii="Times New Roman" w:hAnsi="Times New Roman"/>
          <w:sz w:val="24"/>
          <w:szCs w:val="24"/>
        </w:rPr>
        <w:t xml:space="preserve"> was strong</w:t>
      </w:r>
      <w:r w:rsidR="00C848F4">
        <w:rPr>
          <w:rFonts w:ascii="Times New Roman" w:hAnsi="Times New Roman"/>
          <w:sz w:val="24"/>
          <w:szCs w:val="24"/>
        </w:rPr>
        <w:t>ly influenced by rulings of the International Court of Justice</w:t>
      </w:r>
      <w:r w:rsidRPr="00442018">
        <w:rPr>
          <w:rFonts w:ascii="Times New Roman" w:hAnsi="Times New Roman"/>
          <w:sz w:val="24"/>
          <w:szCs w:val="24"/>
        </w:rPr>
        <w:t xml:space="preserve"> respecting immunities, notably the recent decision in the </w:t>
      </w:r>
      <w:r w:rsidRPr="00442018">
        <w:rPr>
          <w:rFonts w:ascii="Times New Roman" w:hAnsi="Times New Roman"/>
          <w:i/>
          <w:sz w:val="24"/>
          <w:szCs w:val="24"/>
        </w:rPr>
        <w:t xml:space="preserve">Jurisdictional Immunities of the State </w:t>
      </w:r>
      <w:r w:rsidRPr="00442018">
        <w:rPr>
          <w:rFonts w:ascii="Times New Roman" w:hAnsi="Times New Roman"/>
          <w:sz w:val="24"/>
          <w:szCs w:val="24"/>
        </w:rPr>
        <w:t>case.</w:t>
      </w:r>
      <w:r w:rsidRPr="00442018">
        <w:rPr>
          <w:rStyle w:val="FootnoteReference"/>
          <w:rFonts w:ascii="Times New Roman" w:hAnsi="Times New Roman"/>
          <w:sz w:val="24"/>
          <w:szCs w:val="24"/>
        </w:rPr>
        <w:footnoteReference w:id="9"/>
      </w:r>
    </w:p>
    <w:p w14:paraId="7BB1C3CE" w14:textId="2BBD172E" w:rsidR="00013B42" w:rsidRDefault="00013B42" w:rsidP="00C848F4">
      <w:pPr>
        <w:pStyle w:val="xmsonormal"/>
        <w:spacing w:before="0" w:beforeAutospacing="0" w:after="0" w:afterAutospacing="0" w:line="360" w:lineRule="auto"/>
        <w:ind w:firstLine="720"/>
        <w:jc w:val="both"/>
        <w:rPr>
          <w:rFonts w:ascii="Times New Roman" w:hAnsi="Times New Roman"/>
          <w:sz w:val="24"/>
          <w:szCs w:val="24"/>
        </w:rPr>
      </w:pPr>
      <w:r w:rsidRPr="00442018">
        <w:rPr>
          <w:rFonts w:ascii="Times New Roman" w:hAnsi="Times New Roman"/>
          <w:sz w:val="24"/>
          <w:szCs w:val="24"/>
        </w:rPr>
        <w:t xml:space="preserve">There are </w:t>
      </w:r>
      <w:r w:rsidR="00C848F4">
        <w:rPr>
          <w:rFonts w:ascii="Times New Roman" w:hAnsi="Times New Roman"/>
          <w:sz w:val="24"/>
          <w:szCs w:val="24"/>
        </w:rPr>
        <w:t xml:space="preserve">also </w:t>
      </w:r>
      <w:r w:rsidRPr="00442018">
        <w:rPr>
          <w:rFonts w:ascii="Times New Roman" w:hAnsi="Times New Roman"/>
          <w:sz w:val="24"/>
          <w:szCs w:val="24"/>
        </w:rPr>
        <w:t xml:space="preserve">some summary references </w:t>
      </w:r>
      <w:r w:rsidR="00AF4326">
        <w:rPr>
          <w:rFonts w:ascii="Times New Roman" w:hAnsi="Times New Roman"/>
          <w:sz w:val="24"/>
          <w:szCs w:val="24"/>
        </w:rPr>
        <w:t xml:space="preserve">to the 2007 judgment </w:t>
      </w:r>
      <w:r w:rsidRPr="00442018">
        <w:rPr>
          <w:rFonts w:ascii="Times New Roman" w:hAnsi="Times New Roman"/>
          <w:sz w:val="24"/>
          <w:szCs w:val="24"/>
        </w:rPr>
        <w:t xml:space="preserve">by a Chamber of the European Court in a case directed against Switzerland concerning genocide </w:t>
      </w:r>
      <w:r w:rsidRPr="00442018">
        <w:rPr>
          <w:rFonts w:ascii="Times New Roman" w:hAnsi="Times New Roman"/>
          <w:sz w:val="24"/>
          <w:szCs w:val="24"/>
        </w:rPr>
        <w:lastRenderedPageBreak/>
        <w:t>denial legislation.</w:t>
      </w:r>
      <w:r w:rsidRPr="00442018">
        <w:rPr>
          <w:rStyle w:val="FootnoteReference"/>
          <w:rFonts w:ascii="Times New Roman" w:hAnsi="Times New Roman"/>
          <w:sz w:val="24"/>
          <w:szCs w:val="24"/>
        </w:rPr>
        <w:footnoteReference w:id="10"/>
      </w:r>
      <w:r w:rsidR="00C848F4">
        <w:rPr>
          <w:rFonts w:ascii="Times New Roman" w:hAnsi="Times New Roman"/>
          <w:sz w:val="24"/>
          <w:szCs w:val="24"/>
        </w:rPr>
        <w:t xml:space="preserve"> The </w:t>
      </w:r>
      <w:proofErr w:type="gramStart"/>
      <w:r w:rsidR="00C848F4">
        <w:rPr>
          <w:rFonts w:ascii="Times New Roman" w:hAnsi="Times New Roman"/>
          <w:sz w:val="24"/>
          <w:szCs w:val="24"/>
        </w:rPr>
        <w:t>2007 judgment of the</w:t>
      </w:r>
      <w:r w:rsidRPr="00442018">
        <w:rPr>
          <w:rFonts w:ascii="Times New Roman" w:hAnsi="Times New Roman"/>
          <w:sz w:val="24"/>
          <w:szCs w:val="24"/>
        </w:rPr>
        <w:t xml:space="preserve"> </w:t>
      </w:r>
      <w:r w:rsidR="00C848F4">
        <w:rPr>
          <w:rFonts w:ascii="Times New Roman" w:hAnsi="Times New Roman"/>
          <w:sz w:val="24"/>
          <w:szCs w:val="24"/>
        </w:rPr>
        <w:t xml:space="preserve">International </w:t>
      </w:r>
      <w:r w:rsidRPr="00442018">
        <w:rPr>
          <w:rFonts w:ascii="Times New Roman" w:hAnsi="Times New Roman"/>
          <w:sz w:val="24"/>
          <w:szCs w:val="24"/>
        </w:rPr>
        <w:t>Court</w:t>
      </w:r>
      <w:r w:rsidR="00C848F4">
        <w:rPr>
          <w:rFonts w:ascii="Times New Roman" w:hAnsi="Times New Roman"/>
          <w:sz w:val="24"/>
          <w:szCs w:val="24"/>
        </w:rPr>
        <w:t xml:space="preserve"> of Justice</w:t>
      </w:r>
      <w:r w:rsidRPr="00442018">
        <w:rPr>
          <w:rFonts w:ascii="Times New Roman" w:hAnsi="Times New Roman"/>
          <w:sz w:val="24"/>
          <w:szCs w:val="24"/>
        </w:rPr>
        <w:t xml:space="preserve"> was also cited by the </w:t>
      </w:r>
      <w:r w:rsidR="00C848F4">
        <w:rPr>
          <w:rFonts w:ascii="Times New Roman" w:hAnsi="Times New Roman"/>
          <w:sz w:val="24"/>
          <w:szCs w:val="24"/>
        </w:rPr>
        <w:t>European Court of Human Rights</w:t>
      </w:r>
      <w:r w:rsidRPr="00442018">
        <w:rPr>
          <w:rFonts w:ascii="Times New Roman" w:hAnsi="Times New Roman"/>
          <w:sz w:val="24"/>
          <w:szCs w:val="24"/>
        </w:rPr>
        <w:t xml:space="preserve"> with respect to its statements on State responsibility, attribution and the ‘direct control’ criterion</w:t>
      </w:r>
      <w:proofErr w:type="gramEnd"/>
      <w:r w:rsidRPr="00442018">
        <w:rPr>
          <w:rFonts w:ascii="Times New Roman" w:hAnsi="Times New Roman"/>
          <w:sz w:val="24"/>
          <w:szCs w:val="24"/>
        </w:rPr>
        <w:t>.</w:t>
      </w:r>
      <w:r w:rsidRPr="00442018">
        <w:rPr>
          <w:rStyle w:val="FootnoteReference"/>
          <w:rFonts w:ascii="Times New Roman" w:hAnsi="Times New Roman"/>
          <w:sz w:val="24"/>
          <w:szCs w:val="24"/>
        </w:rPr>
        <w:footnoteReference w:id="11"/>
      </w:r>
      <w:r w:rsidRPr="00442018">
        <w:rPr>
          <w:rFonts w:ascii="Times New Roman" w:hAnsi="Times New Roman"/>
          <w:sz w:val="24"/>
          <w:szCs w:val="24"/>
        </w:rPr>
        <w:t xml:space="preserve"> In addition, the 1996 interlocutory ruling in the same case was also cited by a judge of the </w:t>
      </w:r>
      <w:r w:rsidR="00C848F4">
        <w:rPr>
          <w:rFonts w:ascii="Times New Roman" w:hAnsi="Times New Roman"/>
          <w:sz w:val="24"/>
          <w:szCs w:val="24"/>
        </w:rPr>
        <w:t>European Court of Human Rights</w:t>
      </w:r>
      <w:r w:rsidRPr="00442018">
        <w:rPr>
          <w:rFonts w:ascii="Times New Roman" w:hAnsi="Times New Roman"/>
          <w:sz w:val="24"/>
          <w:szCs w:val="24"/>
        </w:rPr>
        <w:t xml:space="preserve"> in a separate opinion as authority for the proposition that human rights obligations are not by nature reciprocal.</w:t>
      </w:r>
      <w:r w:rsidRPr="00442018">
        <w:rPr>
          <w:rStyle w:val="FootnoteReference"/>
          <w:rFonts w:ascii="Times New Roman" w:hAnsi="Times New Roman"/>
          <w:sz w:val="24"/>
          <w:szCs w:val="24"/>
        </w:rPr>
        <w:footnoteReference w:id="12"/>
      </w:r>
    </w:p>
    <w:p w14:paraId="7E7AD73B" w14:textId="39625C79" w:rsidR="007F0AD2" w:rsidRPr="00367C01" w:rsidRDefault="007F0AD2" w:rsidP="00C848F4">
      <w:pPr>
        <w:pStyle w:val="xmsonormal"/>
        <w:spacing w:before="0" w:beforeAutospacing="0" w:after="0" w:afterAutospacing="0" w:line="360" w:lineRule="auto"/>
        <w:ind w:firstLine="720"/>
        <w:jc w:val="both"/>
        <w:rPr>
          <w:rFonts w:ascii="Times New Roman" w:hAnsi="Times New Roman"/>
          <w:sz w:val="24"/>
          <w:szCs w:val="24"/>
          <w:lang w:val="en-GB"/>
        </w:rPr>
      </w:pPr>
      <w:r>
        <w:rPr>
          <w:rFonts w:ascii="Times New Roman" w:hAnsi="Times New Roman"/>
          <w:sz w:val="24"/>
          <w:szCs w:val="24"/>
        </w:rPr>
        <w:t>Two Grand Chamber decisions of the European Court of Human Rights dealing with genocide were delivered in October 2015, after the February 2015 decision of the International Court of Justice, and are therefore outside the scope of this study.</w:t>
      </w:r>
      <w:r>
        <w:rPr>
          <w:rStyle w:val="FootnoteReference"/>
          <w:rFonts w:ascii="Times New Roman" w:hAnsi="Times New Roman"/>
          <w:sz w:val="24"/>
          <w:szCs w:val="24"/>
        </w:rPr>
        <w:footnoteReference w:id="13"/>
      </w:r>
    </w:p>
    <w:p w14:paraId="6DB1A733" w14:textId="77777777" w:rsidR="00013B42" w:rsidRPr="00442018" w:rsidRDefault="00013B42" w:rsidP="00C848F4">
      <w:pPr>
        <w:pStyle w:val="xmsonormal"/>
        <w:spacing w:before="0" w:beforeAutospacing="0" w:after="0" w:afterAutospacing="0" w:line="360" w:lineRule="auto"/>
        <w:jc w:val="both"/>
        <w:rPr>
          <w:rFonts w:ascii="Times New Roman" w:hAnsi="Times New Roman"/>
          <w:sz w:val="24"/>
          <w:szCs w:val="24"/>
        </w:rPr>
      </w:pPr>
    </w:p>
    <w:p w14:paraId="536848FC" w14:textId="77777777" w:rsidR="00013B42" w:rsidRPr="006C30E0" w:rsidRDefault="00013B42" w:rsidP="00C848F4">
      <w:pPr>
        <w:pStyle w:val="xmsonormal"/>
        <w:keepNext/>
        <w:spacing w:before="0" w:beforeAutospacing="0" w:after="0" w:afterAutospacing="0" w:line="360" w:lineRule="auto"/>
        <w:jc w:val="both"/>
        <w:rPr>
          <w:rFonts w:ascii="Times New Roman" w:hAnsi="Times New Roman"/>
          <w:b/>
          <w:sz w:val="24"/>
          <w:szCs w:val="24"/>
        </w:rPr>
      </w:pPr>
      <w:r>
        <w:rPr>
          <w:rFonts w:ascii="Times New Roman" w:hAnsi="Times New Roman"/>
          <w:b/>
          <w:sz w:val="24"/>
          <w:szCs w:val="24"/>
        </w:rPr>
        <w:t>International Criminal Tribunal for Rwanda</w:t>
      </w:r>
    </w:p>
    <w:p w14:paraId="62C4D651" w14:textId="77777777" w:rsidR="00013B42" w:rsidRPr="00C846C1" w:rsidRDefault="00013B42" w:rsidP="00C848F4">
      <w:pPr>
        <w:pStyle w:val="xmsonormal"/>
        <w:keepNext/>
        <w:spacing w:before="0" w:beforeAutospacing="0" w:after="0" w:afterAutospacing="0" w:line="360" w:lineRule="auto"/>
        <w:jc w:val="both"/>
        <w:rPr>
          <w:rFonts w:ascii="Times New Roman" w:hAnsi="Times New Roman"/>
          <w:sz w:val="24"/>
          <w:szCs w:val="24"/>
        </w:rPr>
      </w:pPr>
    </w:p>
    <w:p w14:paraId="345EDB69" w14:textId="17AA64AA" w:rsidR="00013B42" w:rsidRPr="00C846C1" w:rsidRDefault="00013B42" w:rsidP="00C848F4">
      <w:pPr>
        <w:pStyle w:val="xmsonormal"/>
        <w:spacing w:before="0" w:beforeAutospacing="0" w:after="0" w:afterAutospacing="0" w:line="360" w:lineRule="auto"/>
        <w:jc w:val="both"/>
        <w:rPr>
          <w:rFonts w:ascii="Times New Roman" w:hAnsi="Times New Roman"/>
          <w:sz w:val="24"/>
          <w:szCs w:val="24"/>
          <w:lang w:val="en-GB"/>
        </w:rPr>
      </w:pPr>
      <w:r w:rsidRPr="00C846C1">
        <w:rPr>
          <w:rFonts w:ascii="Times New Roman" w:hAnsi="Times New Roman"/>
          <w:sz w:val="24"/>
          <w:szCs w:val="24"/>
        </w:rPr>
        <w:t xml:space="preserve">The International Criminal Tribunal for Rwanda has issued many decisions concerning genocide, at both the trial and the appeals stage, but as a general rule these have contributed </w:t>
      </w:r>
      <w:r w:rsidR="00AF4326">
        <w:rPr>
          <w:rFonts w:ascii="Times New Roman" w:hAnsi="Times New Roman"/>
          <w:sz w:val="24"/>
          <w:szCs w:val="24"/>
        </w:rPr>
        <w:t>only modestly</w:t>
      </w:r>
      <w:r w:rsidR="00AF4326" w:rsidRPr="00C846C1">
        <w:rPr>
          <w:rFonts w:ascii="Times New Roman" w:hAnsi="Times New Roman"/>
          <w:sz w:val="24"/>
          <w:szCs w:val="24"/>
        </w:rPr>
        <w:t xml:space="preserve"> </w:t>
      </w:r>
      <w:r w:rsidRPr="00C846C1">
        <w:rPr>
          <w:rFonts w:ascii="Times New Roman" w:hAnsi="Times New Roman"/>
          <w:sz w:val="24"/>
          <w:szCs w:val="24"/>
        </w:rPr>
        <w:t>to the interpretation of articles 2 and 3 of the Genocide Convention. In several of the Appeals Chamber judgments decided since</w:t>
      </w:r>
      <w:r w:rsidR="007F0AD2">
        <w:rPr>
          <w:rFonts w:ascii="Times New Roman" w:hAnsi="Times New Roman"/>
          <w:sz w:val="24"/>
          <w:szCs w:val="24"/>
        </w:rPr>
        <w:t xml:space="preserve"> February 2007, the </w:t>
      </w:r>
      <w:proofErr w:type="spellStart"/>
      <w:r w:rsidR="007F0AD2">
        <w:rPr>
          <w:rFonts w:ascii="Times New Roman" w:hAnsi="Times New Roman"/>
          <w:sz w:val="24"/>
          <w:szCs w:val="24"/>
        </w:rPr>
        <w:t>defence</w:t>
      </w:r>
      <w:proofErr w:type="spellEnd"/>
      <w:r w:rsidR="007F0AD2">
        <w:rPr>
          <w:rFonts w:ascii="Times New Roman" w:hAnsi="Times New Roman"/>
          <w:sz w:val="24"/>
          <w:szCs w:val="24"/>
        </w:rPr>
        <w:t xml:space="preserve"> </w:t>
      </w:r>
      <w:r w:rsidRPr="00C846C1">
        <w:rPr>
          <w:rFonts w:ascii="Times New Roman" w:hAnsi="Times New Roman"/>
          <w:sz w:val="24"/>
          <w:szCs w:val="24"/>
        </w:rPr>
        <w:t>raised very broad and often unsubstantiated allegations that the Trial Chamber had misapplied the law on genocide.</w:t>
      </w:r>
      <w:r w:rsidRPr="00C846C1">
        <w:rPr>
          <w:rStyle w:val="FootnoteReference"/>
          <w:rFonts w:ascii="Times New Roman" w:hAnsi="Times New Roman"/>
          <w:sz w:val="24"/>
          <w:szCs w:val="24"/>
        </w:rPr>
        <w:footnoteReference w:id="14"/>
      </w:r>
      <w:r w:rsidRPr="00C846C1">
        <w:rPr>
          <w:rFonts w:ascii="Times New Roman" w:hAnsi="Times New Roman"/>
          <w:sz w:val="24"/>
          <w:szCs w:val="24"/>
        </w:rPr>
        <w:t xml:space="preserve"> In others, issues relating to the definition of genocide </w:t>
      </w:r>
      <w:r w:rsidR="007F0AD2">
        <w:rPr>
          <w:rFonts w:ascii="Times New Roman" w:hAnsi="Times New Roman"/>
          <w:sz w:val="24"/>
          <w:szCs w:val="24"/>
        </w:rPr>
        <w:t xml:space="preserve">have </w:t>
      </w:r>
      <w:r w:rsidRPr="00C846C1">
        <w:rPr>
          <w:rFonts w:ascii="Times New Roman" w:hAnsi="Times New Roman"/>
          <w:sz w:val="24"/>
          <w:szCs w:val="24"/>
        </w:rPr>
        <w:t>not arise</w:t>
      </w:r>
      <w:r w:rsidR="007F0AD2">
        <w:rPr>
          <w:rFonts w:ascii="Times New Roman" w:hAnsi="Times New Roman"/>
          <w:sz w:val="24"/>
          <w:szCs w:val="24"/>
        </w:rPr>
        <w:t>n</w:t>
      </w:r>
      <w:r w:rsidRPr="00C846C1">
        <w:rPr>
          <w:rFonts w:ascii="Times New Roman" w:hAnsi="Times New Roman"/>
          <w:sz w:val="24"/>
          <w:szCs w:val="24"/>
        </w:rPr>
        <w:t xml:space="preserve"> at all.</w:t>
      </w:r>
      <w:r w:rsidRPr="00C846C1">
        <w:rPr>
          <w:rStyle w:val="FootnoteReference"/>
          <w:rFonts w:ascii="Times New Roman" w:hAnsi="Times New Roman"/>
          <w:sz w:val="24"/>
          <w:szCs w:val="24"/>
        </w:rPr>
        <w:footnoteReference w:id="15"/>
      </w:r>
      <w:r w:rsidRPr="00C846C1">
        <w:rPr>
          <w:rFonts w:ascii="Times New Roman" w:hAnsi="Times New Roman"/>
          <w:sz w:val="24"/>
          <w:szCs w:val="24"/>
        </w:rPr>
        <w:t xml:space="preserve"> Similarly, there is little of interest in terms of legal development in the Trial Chamber judgments issued in recent years.</w:t>
      </w:r>
      <w:r w:rsidRPr="00C846C1">
        <w:rPr>
          <w:rStyle w:val="FootnoteReference"/>
          <w:rFonts w:ascii="Times New Roman" w:hAnsi="Times New Roman"/>
          <w:sz w:val="24"/>
          <w:szCs w:val="24"/>
        </w:rPr>
        <w:footnoteReference w:id="16"/>
      </w:r>
      <w:r w:rsidRPr="00C846C1">
        <w:rPr>
          <w:rFonts w:ascii="Times New Roman" w:hAnsi="Times New Roman"/>
          <w:sz w:val="24"/>
          <w:szCs w:val="24"/>
        </w:rPr>
        <w:t xml:space="preserve"> These decisions do not </w:t>
      </w:r>
      <w:r w:rsidR="00AF4326">
        <w:rPr>
          <w:rFonts w:ascii="Times New Roman" w:hAnsi="Times New Roman"/>
          <w:sz w:val="24"/>
          <w:szCs w:val="24"/>
        </w:rPr>
        <w:t>generally address</w:t>
      </w:r>
      <w:r w:rsidR="00AF4326" w:rsidRPr="00C846C1">
        <w:rPr>
          <w:rFonts w:ascii="Times New Roman" w:hAnsi="Times New Roman"/>
          <w:sz w:val="24"/>
          <w:szCs w:val="24"/>
        </w:rPr>
        <w:t xml:space="preserve"> </w:t>
      </w:r>
      <w:r w:rsidRPr="00C846C1">
        <w:rPr>
          <w:rFonts w:ascii="Times New Roman" w:hAnsi="Times New Roman"/>
          <w:sz w:val="24"/>
          <w:szCs w:val="24"/>
        </w:rPr>
        <w:t xml:space="preserve">any new issues concerning </w:t>
      </w:r>
      <w:r w:rsidRPr="00C846C1">
        <w:rPr>
          <w:rFonts w:ascii="Times New Roman" w:hAnsi="Times New Roman"/>
          <w:sz w:val="24"/>
          <w:szCs w:val="24"/>
        </w:rPr>
        <w:lastRenderedPageBreak/>
        <w:t>interpretation of the definition of genocide. T</w:t>
      </w:r>
      <w:r w:rsidR="00AF4326">
        <w:rPr>
          <w:rFonts w:ascii="Times New Roman" w:hAnsi="Times New Roman"/>
          <w:sz w:val="24"/>
          <w:szCs w:val="24"/>
        </w:rPr>
        <w:t>ypically, t</w:t>
      </w:r>
      <w:r w:rsidRPr="00C846C1">
        <w:rPr>
          <w:rFonts w:ascii="Times New Roman" w:hAnsi="Times New Roman"/>
          <w:sz w:val="24"/>
          <w:szCs w:val="24"/>
        </w:rPr>
        <w:t>he</w:t>
      </w:r>
      <w:r>
        <w:rPr>
          <w:rFonts w:ascii="Times New Roman" w:hAnsi="Times New Roman"/>
          <w:sz w:val="24"/>
          <w:szCs w:val="24"/>
        </w:rPr>
        <w:t>y</w:t>
      </w:r>
      <w:r w:rsidRPr="00C846C1">
        <w:rPr>
          <w:rFonts w:ascii="Times New Roman" w:hAnsi="Times New Roman"/>
          <w:sz w:val="24"/>
          <w:szCs w:val="24"/>
        </w:rPr>
        <w:t xml:space="preserve"> </w:t>
      </w:r>
      <w:r w:rsidR="00AF4326">
        <w:rPr>
          <w:rFonts w:ascii="Times New Roman" w:hAnsi="Times New Roman"/>
          <w:sz w:val="24"/>
          <w:szCs w:val="24"/>
        </w:rPr>
        <w:t>consist of</w:t>
      </w:r>
      <w:r w:rsidRPr="00C846C1">
        <w:rPr>
          <w:rFonts w:ascii="Times New Roman" w:hAnsi="Times New Roman"/>
          <w:sz w:val="24"/>
          <w:szCs w:val="24"/>
        </w:rPr>
        <w:t xml:space="preserve"> relatively perfunctory recitals of the case law. For that reason, they do not deserve any particular attention here.</w:t>
      </w:r>
    </w:p>
    <w:p w14:paraId="483272D7" w14:textId="2A5B1C59" w:rsidR="007F0AD2" w:rsidRDefault="00013B42" w:rsidP="007F0AD2">
      <w:pPr>
        <w:pStyle w:val="xmsonormal"/>
        <w:spacing w:before="0" w:beforeAutospacing="0" w:after="0" w:afterAutospacing="0" w:line="360" w:lineRule="auto"/>
        <w:ind w:firstLine="720"/>
        <w:jc w:val="both"/>
        <w:rPr>
          <w:rFonts w:ascii="Times New Roman" w:hAnsi="Times New Roman"/>
          <w:sz w:val="24"/>
          <w:szCs w:val="24"/>
          <w:lang w:val="en-GB"/>
        </w:rPr>
      </w:pPr>
      <w:r w:rsidRPr="00C846C1">
        <w:rPr>
          <w:rFonts w:ascii="Times New Roman" w:hAnsi="Times New Roman"/>
          <w:sz w:val="24"/>
          <w:szCs w:val="24"/>
        </w:rPr>
        <w:t xml:space="preserve">It may seem astonishing that this Tribunal, whose work has been devoted very largely to the </w:t>
      </w:r>
      <w:r w:rsidR="00EF4E4B">
        <w:rPr>
          <w:rFonts w:ascii="Times New Roman" w:hAnsi="Times New Roman"/>
          <w:sz w:val="24"/>
          <w:szCs w:val="24"/>
        </w:rPr>
        <w:t>implementation</w:t>
      </w:r>
      <w:r w:rsidRPr="00C846C1">
        <w:rPr>
          <w:rFonts w:ascii="Times New Roman" w:hAnsi="Times New Roman"/>
          <w:sz w:val="24"/>
          <w:szCs w:val="24"/>
        </w:rPr>
        <w:t xml:space="preserve"> of the 1948 Genocide Convention, does not appear to have ever made reference to the 2007 judgment of the </w:t>
      </w:r>
      <w:r w:rsidR="007F0AD2">
        <w:rPr>
          <w:rFonts w:ascii="Times New Roman" w:hAnsi="Times New Roman"/>
          <w:sz w:val="24"/>
          <w:szCs w:val="24"/>
        </w:rPr>
        <w:t>International Court of Justice</w:t>
      </w:r>
      <w:r w:rsidRPr="00C846C1">
        <w:rPr>
          <w:rFonts w:ascii="Times New Roman" w:hAnsi="Times New Roman"/>
          <w:sz w:val="24"/>
          <w:szCs w:val="24"/>
        </w:rPr>
        <w:t>. Indeed, it has virtually never referred to the case law of the Court at all.</w:t>
      </w:r>
      <w:r w:rsidRPr="00C846C1">
        <w:rPr>
          <w:rStyle w:val="FootnoteReference"/>
          <w:rFonts w:ascii="Times New Roman" w:hAnsi="Times New Roman"/>
          <w:sz w:val="24"/>
          <w:szCs w:val="24"/>
        </w:rPr>
        <w:footnoteReference w:id="17"/>
      </w:r>
      <w:r w:rsidRPr="00C846C1">
        <w:rPr>
          <w:rFonts w:ascii="Times New Roman" w:hAnsi="Times New Roman"/>
          <w:sz w:val="24"/>
          <w:szCs w:val="24"/>
        </w:rPr>
        <w:t xml:space="preserve"> There is one obscure mention </w:t>
      </w:r>
      <w:r w:rsidR="00AF4326">
        <w:rPr>
          <w:rFonts w:ascii="Times New Roman" w:hAnsi="Times New Roman"/>
          <w:sz w:val="24"/>
          <w:szCs w:val="24"/>
        </w:rPr>
        <w:t>of</w:t>
      </w:r>
      <w:r w:rsidRPr="00C846C1">
        <w:rPr>
          <w:rFonts w:ascii="Times New Roman" w:hAnsi="Times New Roman"/>
          <w:sz w:val="24"/>
          <w:szCs w:val="24"/>
        </w:rPr>
        <w:t xml:space="preserve"> the 1996 Preliminary Objections ruling in the </w:t>
      </w:r>
      <w:r w:rsidRPr="00C846C1">
        <w:rPr>
          <w:rFonts w:ascii="Times New Roman" w:hAnsi="Times New Roman"/>
          <w:i/>
          <w:sz w:val="24"/>
          <w:szCs w:val="24"/>
        </w:rPr>
        <w:t xml:space="preserve">Bosnia </w:t>
      </w:r>
      <w:r w:rsidRPr="00C846C1">
        <w:rPr>
          <w:rFonts w:ascii="Times New Roman" w:hAnsi="Times New Roman"/>
          <w:sz w:val="24"/>
          <w:szCs w:val="24"/>
        </w:rPr>
        <w:t xml:space="preserve">case, on the </w:t>
      </w:r>
      <w:r w:rsidRPr="00C846C1">
        <w:rPr>
          <w:rFonts w:ascii="Times New Roman" w:hAnsi="Times New Roman"/>
          <w:i/>
          <w:sz w:val="24"/>
          <w:szCs w:val="24"/>
        </w:rPr>
        <w:t xml:space="preserve">erga omnes </w:t>
      </w:r>
      <w:r w:rsidRPr="00C846C1">
        <w:rPr>
          <w:rFonts w:ascii="Times New Roman" w:hAnsi="Times New Roman"/>
          <w:sz w:val="24"/>
          <w:szCs w:val="24"/>
        </w:rPr>
        <w:t>nature of the obligations in the 1948 Convention, but that is only because one of the parties cited it, prompting the Court to acknowledge the reference in its summary of the positions taken by the parties.</w:t>
      </w:r>
      <w:r w:rsidRPr="00C846C1">
        <w:rPr>
          <w:rStyle w:val="FootnoteReference"/>
          <w:rFonts w:ascii="Times New Roman" w:hAnsi="Times New Roman"/>
          <w:sz w:val="24"/>
          <w:szCs w:val="24"/>
        </w:rPr>
        <w:footnoteReference w:id="18"/>
      </w:r>
    </w:p>
    <w:p w14:paraId="3B13D542" w14:textId="77777777" w:rsidR="007F0AD2" w:rsidRDefault="00013B42" w:rsidP="007F0AD2">
      <w:pPr>
        <w:pStyle w:val="xmsonormal"/>
        <w:spacing w:before="0" w:beforeAutospacing="0" w:after="0" w:afterAutospacing="0" w:line="360" w:lineRule="auto"/>
        <w:ind w:firstLine="720"/>
        <w:jc w:val="both"/>
        <w:rPr>
          <w:rFonts w:ascii="Times New Roman" w:hAnsi="Times New Roman"/>
          <w:sz w:val="24"/>
          <w:szCs w:val="24"/>
          <w:lang w:val="en-GB"/>
        </w:rPr>
      </w:pPr>
      <w:r w:rsidRPr="00C846C1">
        <w:rPr>
          <w:rFonts w:ascii="Times New Roman" w:hAnsi="Times New Roman"/>
          <w:sz w:val="24"/>
          <w:szCs w:val="24"/>
        </w:rPr>
        <w:t xml:space="preserve">The fact that there is little of interest in the post-February 2007 decisions of the </w:t>
      </w:r>
      <w:r w:rsidR="007F0AD2">
        <w:rPr>
          <w:rFonts w:ascii="Times New Roman" w:hAnsi="Times New Roman"/>
          <w:sz w:val="24"/>
          <w:szCs w:val="24"/>
        </w:rPr>
        <w:t>International Criminal Tribunal for Rwanda</w:t>
      </w:r>
      <w:r w:rsidRPr="00C846C1">
        <w:rPr>
          <w:rFonts w:ascii="Times New Roman" w:hAnsi="Times New Roman"/>
          <w:sz w:val="24"/>
          <w:szCs w:val="24"/>
        </w:rPr>
        <w:t xml:space="preserve"> may only reflect the fact that its case law, at least as the definition of the crime of genocide is concerned, had already become quite developed and detailed, leaving little room for dispute or challenge. Many of the issues and controversies that were so important to the context of the former Yugoslavia, such as the demarcation between genocide and ethnic cleansing and the significance of forcible displacement</w:t>
      </w:r>
      <w:r w:rsidR="00AF4326">
        <w:rPr>
          <w:rFonts w:ascii="Times New Roman" w:hAnsi="Times New Roman"/>
          <w:sz w:val="24"/>
          <w:szCs w:val="24"/>
        </w:rPr>
        <w:t>, never seriously</w:t>
      </w:r>
      <w:r w:rsidRPr="00C846C1">
        <w:rPr>
          <w:rFonts w:ascii="Times New Roman" w:hAnsi="Times New Roman"/>
          <w:sz w:val="24"/>
          <w:szCs w:val="24"/>
        </w:rPr>
        <w:t xml:space="preserve"> </w:t>
      </w:r>
      <w:r w:rsidR="00AF4326">
        <w:rPr>
          <w:rFonts w:ascii="Times New Roman" w:hAnsi="Times New Roman"/>
          <w:sz w:val="24"/>
          <w:szCs w:val="24"/>
        </w:rPr>
        <w:t>arose</w:t>
      </w:r>
      <w:r w:rsidRPr="00C846C1">
        <w:rPr>
          <w:rFonts w:ascii="Times New Roman" w:hAnsi="Times New Roman"/>
          <w:sz w:val="24"/>
          <w:szCs w:val="24"/>
        </w:rPr>
        <w:t xml:space="preserve"> in the Rwandan </w:t>
      </w:r>
      <w:r w:rsidRPr="00C846C1">
        <w:rPr>
          <w:rFonts w:ascii="Times New Roman" w:hAnsi="Times New Roman"/>
          <w:sz w:val="24"/>
          <w:szCs w:val="24"/>
        </w:rPr>
        <w:lastRenderedPageBreak/>
        <w:t>context. The major contribution by the Rwanda Tribunal to the development of the law of the Genocide Convention addressed the crime of direct and public incitement,</w:t>
      </w:r>
      <w:r w:rsidRPr="00C846C1">
        <w:rPr>
          <w:rStyle w:val="FootnoteReference"/>
          <w:rFonts w:ascii="Times New Roman" w:hAnsi="Times New Roman"/>
          <w:sz w:val="24"/>
          <w:szCs w:val="24"/>
        </w:rPr>
        <w:footnoteReference w:id="19"/>
      </w:r>
      <w:r w:rsidRPr="00C846C1">
        <w:rPr>
          <w:rFonts w:ascii="Times New Roman" w:hAnsi="Times New Roman"/>
          <w:sz w:val="24"/>
          <w:szCs w:val="24"/>
        </w:rPr>
        <w:t xml:space="preserve"> a matter that is not of any </w:t>
      </w:r>
      <w:r w:rsidR="00AF4326">
        <w:rPr>
          <w:rFonts w:ascii="Times New Roman" w:hAnsi="Times New Roman"/>
          <w:sz w:val="24"/>
          <w:szCs w:val="24"/>
        </w:rPr>
        <w:t>great</w:t>
      </w:r>
      <w:r w:rsidR="00AF4326" w:rsidRPr="00C846C1">
        <w:rPr>
          <w:rFonts w:ascii="Times New Roman" w:hAnsi="Times New Roman"/>
          <w:sz w:val="24"/>
          <w:szCs w:val="24"/>
        </w:rPr>
        <w:t xml:space="preserve"> </w:t>
      </w:r>
      <w:r w:rsidRPr="00C846C1">
        <w:rPr>
          <w:rFonts w:ascii="Times New Roman" w:hAnsi="Times New Roman"/>
          <w:sz w:val="24"/>
          <w:szCs w:val="24"/>
        </w:rPr>
        <w:t>relevance to the present proceedings.</w:t>
      </w:r>
    </w:p>
    <w:p w14:paraId="4C4C6D69" w14:textId="77777777" w:rsidR="007F0AD2" w:rsidRDefault="00013B42" w:rsidP="007F0AD2">
      <w:pPr>
        <w:pStyle w:val="xmsonormal"/>
        <w:spacing w:before="0" w:beforeAutospacing="0" w:after="0" w:afterAutospacing="0" w:line="360" w:lineRule="auto"/>
        <w:ind w:firstLine="720"/>
        <w:jc w:val="both"/>
        <w:rPr>
          <w:rFonts w:ascii="Times New Roman" w:hAnsi="Times New Roman"/>
          <w:sz w:val="24"/>
          <w:szCs w:val="24"/>
          <w:lang w:val="en-GB"/>
        </w:rPr>
      </w:pPr>
      <w:r w:rsidRPr="00C846C1">
        <w:rPr>
          <w:rFonts w:ascii="Times New Roman" w:hAnsi="Times New Roman"/>
          <w:sz w:val="24"/>
          <w:szCs w:val="24"/>
        </w:rPr>
        <w:t xml:space="preserve">One judgment of the Appeals Chamber of the </w:t>
      </w:r>
      <w:r w:rsidR="007F0AD2">
        <w:rPr>
          <w:rFonts w:ascii="Times New Roman" w:hAnsi="Times New Roman"/>
          <w:sz w:val="24"/>
          <w:szCs w:val="24"/>
        </w:rPr>
        <w:t>International Criminal Tribunal for Rwanda</w:t>
      </w:r>
      <w:r w:rsidRPr="00C846C1">
        <w:rPr>
          <w:rFonts w:ascii="Times New Roman" w:hAnsi="Times New Roman"/>
          <w:sz w:val="24"/>
          <w:szCs w:val="24"/>
        </w:rPr>
        <w:t xml:space="preserve">, issued in March 2008, is of importance for its discussion of the </w:t>
      </w:r>
      <w:proofErr w:type="spellStart"/>
      <w:r w:rsidRPr="00C846C1">
        <w:rPr>
          <w:rFonts w:ascii="Times New Roman" w:hAnsi="Times New Roman"/>
          <w:i/>
          <w:sz w:val="24"/>
          <w:szCs w:val="24"/>
        </w:rPr>
        <w:t>actus</w:t>
      </w:r>
      <w:proofErr w:type="spellEnd"/>
      <w:r w:rsidRPr="00C846C1">
        <w:rPr>
          <w:rFonts w:ascii="Times New Roman" w:hAnsi="Times New Roman"/>
          <w:i/>
          <w:sz w:val="24"/>
          <w:szCs w:val="24"/>
        </w:rPr>
        <w:t xml:space="preserve"> </w:t>
      </w:r>
      <w:proofErr w:type="spellStart"/>
      <w:proofErr w:type="gramStart"/>
      <w:r w:rsidRPr="00C846C1">
        <w:rPr>
          <w:rFonts w:ascii="Times New Roman" w:hAnsi="Times New Roman"/>
          <w:i/>
          <w:sz w:val="24"/>
          <w:szCs w:val="24"/>
        </w:rPr>
        <w:t>reus</w:t>
      </w:r>
      <w:proofErr w:type="spellEnd"/>
      <w:proofErr w:type="gramEnd"/>
      <w:r w:rsidRPr="00C846C1">
        <w:rPr>
          <w:rFonts w:ascii="Times New Roman" w:hAnsi="Times New Roman"/>
          <w:i/>
          <w:sz w:val="24"/>
          <w:szCs w:val="24"/>
        </w:rPr>
        <w:t xml:space="preserve"> </w:t>
      </w:r>
      <w:r w:rsidRPr="00C846C1">
        <w:rPr>
          <w:rFonts w:ascii="Times New Roman" w:hAnsi="Times New Roman"/>
          <w:sz w:val="24"/>
          <w:szCs w:val="24"/>
        </w:rPr>
        <w:t>of the second act of genocide, that is, causing serious bodily and mental harm to members of the group. The Chamber said that in its previous judgments it had not ‘squarely addressed the definition of such harm’.</w:t>
      </w:r>
      <w:r w:rsidRPr="00C846C1">
        <w:rPr>
          <w:rStyle w:val="FootnoteReference"/>
          <w:rFonts w:ascii="Times New Roman" w:hAnsi="Times New Roman"/>
          <w:sz w:val="24"/>
          <w:szCs w:val="24"/>
        </w:rPr>
        <w:footnoteReference w:id="20"/>
      </w:r>
      <w:r w:rsidRPr="00C846C1">
        <w:rPr>
          <w:rFonts w:ascii="Times New Roman" w:hAnsi="Times New Roman"/>
          <w:sz w:val="24"/>
          <w:szCs w:val="24"/>
        </w:rPr>
        <w:t xml:space="preserve"> It said that ‘quintessential examples of serious bodily harm are torture, rape, and non-fatal physical violence that causes disfigurement or serious injury to the external or internal organs’.</w:t>
      </w:r>
      <w:r w:rsidRPr="00C846C1">
        <w:rPr>
          <w:rStyle w:val="FootnoteReference"/>
          <w:rFonts w:ascii="Times New Roman" w:hAnsi="Times New Roman"/>
          <w:sz w:val="24"/>
          <w:szCs w:val="24"/>
        </w:rPr>
        <w:footnoteReference w:id="21"/>
      </w:r>
      <w:r w:rsidRPr="00C846C1">
        <w:rPr>
          <w:rFonts w:ascii="Times New Roman" w:hAnsi="Times New Roman"/>
          <w:sz w:val="24"/>
          <w:szCs w:val="24"/>
        </w:rPr>
        <w:t xml:space="preserve"> The Appeals Chamber said that serious mental harm includes ‘more than minor or temporary impairment of mental faculties such as the infliction of strong fear or terror, intimidation or threat’.</w:t>
      </w:r>
      <w:r w:rsidRPr="00C846C1">
        <w:rPr>
          <w:rStyle w:val="FootnoteReference"/>
          <w:rFonts w:ascii="Times New Roman" w:hAnsi="Times New Roman"/>
          <w:sz w:val="24"/>
          <w:szCs w:val="24"/>
        </w:rPr>
        <w:footnoteReference w:id="22"/>
      </w:r>
      <w:r w:rsidRPr="00C846C1">
        <w:rPr>
          <w:rFonts w:ascii="Times New Roman" w:hAnsi="Times New Roman"/>
          <w:sz w:val="24"/>
          <w:szCs w:val="24"/>
        </w:rPr>
        <w:t xml:space="preserve"> Noting that nearly all convictions for genocide on the basis of causing serious bodily or mental harm had involved killing or rape, the Chamber said that ‘[</w:t>
      </w:r>
      <w:proofErr w:type="gramStart"/>
      <w:r w:rsidRPr="00C846C1">
        <w:rPr>
          <w:rFonts w:ascii="Times New Roman" w:hAnsi="Times New Roman"/>
          <w:sz w:val="24"/>
          <w:szCs w:val="24"/>
        </w:rPr>
        <w:t>t]o</w:t>
      </w:r>
      <w:proofErr w:type="gramEnd"/>
      <w:r w:rsidRPr="00C846C1">
        <w:rPr>
          <w:rFonts w:ascii="Times New Roman" w:hAnsi="Times New Roman"/>
          <w:sz w:val="24"/>
          <w:szCs w:val="24"/>
        </w:rPr>
        <w:t xml:space="preserve"> support a conviction for genocide, the bodily harm or the mental harm inflicted on members of a group must be of such a serious nature as to threaten its destruction in whole or in part’.</w:t>
      </w:r>
      <w:r w:rsidRPr="00C846C1">
        <w:rPr>
          <w:rStyle w:val="FootnoteReference"/>
          <w:rFonts w:ascii="Times New Roman" w:hAnsi="Times New Roman"/>
          <w:sz w:val="24"/>
          <w:szCs w:val="24"/>
        </w:rPr>
        <w:footnoteReference w:id="23"/>
      </w:r>
      <w:r w:rsidRPr="00C846C1">
        <w:rPr>
          <w:rFonts w:ascii="Times New Roman" w:hAnsi="Times New Roman"/>
          <w:sz w:val="24"/>
          <w:szCs w:val="24"/>
        </w:rPr>
        <w:t xml:space="preserve"> In a footnote to this remark, </w:t>
      </w:r>
      <w:r>
        <w:rPr>
          <w:rFonts w:ascii="Times New Roman" w:hAnsi="Times New Roman"/>
          <w:sz w:val="24"/>
          <w:szCs w:val="24"/>
        </w:rPr>
        <w:t>the Chamber</w:t>
      </w:r>
      <w:r w:rsidRPr="00C846C1">
        <w:rPr>
          <w:rFonts w:ascii="Times New Roman" w:hAnsi="Times New Roman"/>
          <w:sz w:val="24"/>
          <w:szCs w:val="24"/>
        </w:rPr>
        <w:t xml:space="preserve"> noted that in a decision concerning a charge of crimes against humanity a Trial Chamber has said it was ‘not satisfied that </w:t>
      </w:r>
      <w:r>
        <w:rPr>
          <w:rFonts w:ascii="Times New Roman" w:hAnsi="Times New Roman"/>
          <w:sz w:val="24"/>
          <w:szCs w:val="24"/>
        </w:rPr>
        <w:t>[</w:t>
      </w:r>
      <w:r w:rsidRPr="00C846C1">
        <w:rPr>
          <w:rFonts w:ascii="Times New Roman" w:hAnsi="Times New Roman"/>
          <w:sz w:val="24"/>
          <w:szCs w:val="24"/>
        </w:rPr>
        <w:t>the removal of a church roof depriving Tutsis of an effective hiding place</w:t>
      </w:r>
      <w:r>
        <w:rPr>
          <w:rFonts w:ascii="Times New Roman" w:hAnsi="Times New Roman"/>
          <w:sz w:val="24"/>
          <w:szCs w:val="24"/>
        </w:rPr>
        <w:t>]</w:t>
      </w:r>
      <w:r w:rsidRPr="00C846C1">
        <w:rPr>
          <w:rFonts w:ascii="Times New Roman" w:hAnsi="Times New Roman"/>
          <w:sz w:val="24"/>
          <w:szCs w:val="24"/>
        </w:rPr>
        <w:t xml:space="preserve"> amount[</w:t>
      </w:r>
      <w:proofErr w:type="spellStart"/>
      <w:r w:rsidRPr="00C846C1">
        <w:rPr>
          <w:rFonts w:ascii="Times New Roman" w:hAnsi="Times New Roman"/>
          <w:sz w:val="24"/>
          <w:szCs w:val="24"/>
        </w:rPr>
        <w:t>ed</w:t>
      </w:r>
      <w:proofErr w:type="spellEnd"/>
      <w:r w:rsidRPr="00C846C1">
        <w:rPr>
          <w:rFonts w:ascii="Times New Roman" w:hAnsi="Times New Roman"/>
          <w:sz w:val="24"/>
          <w:szCs w:val="24"/>
        </w:rPr>
        <w:t>] to an act of similar seriousness to other enumerated acts in the Article”.</w:t>
      </w:r>
      <w:r w:rsidRPr="00C846C1">
        <w:rPr>
          <w:rStyle w:val="FootnoteReference"/>
          <w:rFonts w:ascii="Times New Roman" w:hAnsi="Times New Roman"/>
          <w:sz w:val="24"/>
          <w:szCs w:val="24"/>
        </w:rPr>
        <w:footnoteReference w:id="24"/>
      </w:r>
      <w:r w:rsidRPr="00C846C1">
        <w:rPr>
          <w:rFonts w:ascii="Times New Roman" w:hAnsi="Times New Roman"/>
          <w:sz w:val="24"/>
          <w:szCs w:val="24"/>
        </w:rPr>
        <w:t xml:space="preserve"> The Appeals Chamber also cited the commentary on the Code of Crimes in the 1996 report of the International Law Commission.</w:t>
      </w:r>
      <w:r w:rsidRPr="00C846C1">
        <w:rPr>
          <w:rStyle w:val="FootnoteReference"/>
          <w:rFonts w:ascii="Times New Roman" w:hAnsi="Times New Roman"/>
          <w:sz w:val="24"/>
          <w:szCs w:val="24"/>
        </w:rPr>
        <w:footnoteReference w:id="25"/>
      </w:r>
    </w:p>
    <w:p w14:paraId="050C7684" w14:textId="2807BB86" w:rsidR="00013B42" w:rsidRPr="00C846C1" w:rsidRDefault="00013B42" w:rsidP="007F0AD2">
      <w:pPr>
        <w:pStyle w:val="xmsonormal"/>
        <w:spacing w:before="0" w:beforeAutospacing="0" w:after="0" w:afterAutospacing="0" w:line="360" w:lineRule="auto"/>
        <w:ind w:firstLine="720"/>
        <w:jc w:val="both"/>
        <w:rPr>
          <w:rFonts w:ascii="Times New Roman" w:hAnsi="Times New Roman"/>
          <w:sz w:val="24"/>
          <w:szCs w:val="24"/>
          <w:lang w:val="en-GB"/>
        </w:rPr>
      </w:pPr>
      <w:r w:rsidRPr="00C846C1">
        <w:rPr>
          <w:rFonts w:ascii="Times New Roman" w:hAnsi="Times New Roman"/>
          <w:sz w:val="24"/>
          <w:szCs w:val="24"/>
        </w:rPr>
        <w:t xml:space="preserve">The Appeals Chamber of the Rwanda Tribunal referred to statements in the trial judgment that the accused, who was a Catholic priest, had refused to allow Tutsi refugees to get food from a banana plantation, something that contributed to their physical weakening, and that ‘his order prohibiting refugees from getting food from </w:t>
      </w:r>
      <w:r w:rsidRPr="00C846C1">
        <w:rPr>
          <w:rFonts w:ascii="Times New Roman" w:hAnsi="Times New Roman"/>
          <w:sz w:val="24"/>
          <w:szCs w:val="24"/>
        </w:rPr>
        <w:lastRenderedPageBreak/>
        <w:t xml:space="preserve">the banana plantation, his refusal to celebrate mass in </w:t>
      </w:r>
      <w:proofErr w:type="spellStart"/>
      <w:r w:rsidRPr="00C846C1">
        <w:rPr>
          <w:rFonts w:ascii="Times New Roman" w:hAnsi="Times New Roman"/>
          <w:sz w:val="24"/>
          <w:szCs w:val="24"/>
        </w:rPr>
        <w:t>Nyange</w:t>
      </w:r>
      <w:proofErr w:type="spellEnd"/>
      <w:r w:rsidRPr="00C846C1">
        <w:rPr>
          <w:rFonts w:ascii="Times New Roman" w:hAnsi="Times New Roman"/>
          <w:sz w:val="24"/>
          <w:szCs w:val="24"/>
        </w:rPr>
        <w:t xml:space="preserve"> church, and his decision to expel employees and Tutsi refugees’ had facilitated the victims ‘living in a constant state of anxiety’.</w:t>
      </w:r>
      <w:r w:rsidRPr="00C846C1">
        <w:rPr>
          <w:rStyle w:val="FootnoteReference"/>
          <w:rFonts w:ascii="Times New Roman" w:hAnsi="Times New Roman"/>
          <w:sz w:val="24"/>
          <w:szCs w:val="24"/>
        </w:rPr>
        <w:footnoteReference w:id="26"/>
      </w:r>
      <w:r w:rsidRPr="00C846C1">
        <w:rPr>
          <w:rFonts w:ascii="Times New Roman" w:hAnsi="Times New Roman"/>
          <w:sz w:val="24"/>
          <w:szCs w:val="24"/>
        </w:rPr>
        <w:t xml:space="preserve"> The Appeals Chamber mentioned the ‘parsimonious statements’ of the Trial Chamber about the acts allegedly comprising the serious bodily and mental harm, concluding that it could not ‘equate nebulous invocations of “weakening” and “anxiety” with the heinous crimes that obviously constitute serious bodily or mental harm, such as rape and torture’.</w:t>
      </w:r>
      <w:r w:rsidRPr="00C846C1">
        <w:rPr>
          <w:rStyle w:val="FootnoteReference"/>
          <w:rFonts w:ascii="Times New Roman" w:hAnsi="Times New Roman"/>
          <w:sz w:val="24"/>
          <w:szCs w:val="24"/>
        </w:rPr>
        <w:footnoteReference w:id="27"/>
      </w:r>
      <w:r w:rsidRPr="00C846C1">
        <w:rPr>
          <w:rFonts w:ascii="Times New Roman" w:hAnsi="Times New Roman"/>
          <w:sz w:val="24"/>
          <w:szCs w:val="24"/>
        </w:rPr>
        <w:t xml:space="preserve"> These words were endorsed in a July 2013 ruling of the Appeals Chamber of the </w:t>
      </w:r>
      <w:r w:rsidR="007F0AD2">
        <w:rPr>
          <w:rFonts w:ascii="Times New Roman" w:hAnsi="Times New Roman"/>
          <w:sz w:val="24"/>
          <w:szCs w:val="24"/>
        </w:rPr>
        <w:t>International Criminal Tribunal for the former Yugoslavia</w:t>
      </w:r>
      <w:r w:rsidRPr="00C846C1">
        <w:rPr>
          <w:rFonts w:ascii="Times New Roman" w:hAnsi="Times New Roman"/>
          <w:sz w:val="24"/>
          <w:szCs w:val="24"/>
        </w:rPr>
        <w:t>.</w:t>
      </w:r>
      <w:r w:rsidRPr="00C846C1">
        <w:rPr>
          <w:rStyle w:val="FootnoteReference"/>
          <w:rFonts w:ascii="Times New Roman" w:hAnsi="Times New Roman"/>
          <w:sz w:val="24"/>
          <w:szCs w:val="24"/>
        </w:rPr>
        <w:footnoteReference w:id="28"/>
      </w:r>
    </w:p>
    <w:p w14:paraId="4A2B61D2" w14:textId="6507FCD1" w:rsidR="00013B42" w:rsidRPr="00C846C1" w:rsidRDefault="00013B42" w:rsidP="007F0AD2">
      <w:pPr>
        <w:pStyle w:val="xmsonormal"/>
        <w:spacing w:before="0" w:beforeAutospacing="0" w:after="0" w:afterAutospacing="0" w:line="360" w:lineRule="auto"/>
        <w:ind w:firstLine="720"/>
        <w:jc w:val="both"/>
        <w:rPr>
          <w:rFonts w:ascii="Times New Roman" w:hAnsi="Times New Roman"/>
          <w:sz w:val="24"/>
          <w:szCs w:val="24"/>
          <w:lang w:val="en-GB"/>
        </w:rPr>
      </w:pPr>
      <w:r w:rsidRPr="00C846C1">
        <w:rPr>
          <w:rFonts w:ascii="Times New Roman" w:hAnsi="Times New Roman"/>
          <w:sz w:val="24"/>
          <w:szCs w:val="24"/>
        </w:rPr>
        <w:t xml:space="preserve">In another decision, the issue of proof of genocidal intent prompted the Appeals Chamber of the </w:t>
      </w:r>
      <w:r w:rsidR="007F0AD2">
        <w:rPr>
          <w:rFonts w:ascii="Times New Roman" w:hAnsi="Times New Roman"/>
          <w:sz w:val="24"/>
          <w:szCs w:val="24"/>
        </w:rPr>
        <w:t>International Criminal Tribunal for Rwanda</w:t>
      </w:r>
      <w:r w:rsidRPr="00C846C1">
        <w:rPr>
          <w:rFonts w:ascii="Times New Roman" w:hAnsi="Times New Roman"/>
          <w:sz w:val="24"/>
          <w:szCs w:val="24"/>
        </w:rPr>
        <w:t xml:space="preserve"> to recall that in the absence of direct evidence, ‘a perpetrator's intent to commit genocide may be inferred from relevant facts and circumstances, including the general context of the perpetration of other culpable acts systematically directed against the same group, the scale of atrocities committed, the systematic targeting of victims on account of their membership in a particular group, or the repetition of destructive and discriminatory acts’.</w:t>
      </w:r>
      <w:r w:rsidRPr="00C846C1">
        <w:rPr>
          <w:rStyle w:val="FootnoteReference"/>
          <w:rFonts w:ascii="Times New Roman" w:hAnsi="Times New Roman"/>
          <w:sz w:val="24"/>
          <w:szCs w:val="24"/>
        </w:rPr>
        <w:footnoteReference w:id="29"/>
      </w:r>
      <w:r w:rsidRPr="00C846C1">
        <w:rPr>
          <w:rFonts w:ascii="Times New Roman" w:hAnsi="Times New Roman"/>
          <w:sz w:val="24"/>
          <w:szCs w:val="24"/>
        </w:rPr>
        <w:t xml:space="preserve"> The Chamber noted that even facts and events that arose subsequent to the perpetration of the crime itself could be considered as part of the context for this purpose.</w:t>
      </w:r>
      <w:r w:rsidRPr="00C846C1">
        <w:rPr>
          <w:rStyle w:val="FootnoteReference"/>
          <w:rFonts w:ascii="Times New Roman" w:hAnsi="Times New Roman"/>
          <w:sz w:val="24"/>
          <w:szCs w:val="24"/>
        </w:rPr>
        <w:footnoteReference w:id="30"/>
      </w:r>
    </w:p>
    <w:p w14:paraId="50812A7E" w14:textId="3C66042F" w:rsidR="007F0AD2" w:rsidRDefault="00013B42" w:rsidP="007F0AD2">
      <w:pPr>
        <w:pStyle w:val="xmsonormal"/>
        <w:spacing w:before="0" w:beforeAutospacing="0" w:after="0" w:afterAutospacing="0" w:line="360" w:lineRule="auto"/>
        <w:ind w:firstLine="720"/>
        <w:jc w:val="both"/>
        <w:rPr>
          <w:rFonts w:ascii="Times New Roman" w:hAnsi="Times New Roman"/>
          <w:sz w:val="24"/>
          <w:szCs w:val="24"/>
          <w:lang w:val="en-GB"/>
        </w:rPr>
      </w:pPr>
      <w:r w:rsidRPr="00C846C1">
        <w:rPr>
          <w:rFonts w:ascii="Times New Roman" w:hAnsi="Times New Roman"/>
          <w:sz w:val="24"/>
          <w:szCs w:val="24"/>
        </w:rPr>
        <w:t xml:space="preserve">In </w:t>
      </w:r>
      <w:r w:rsidRPr="00C846C1">
        <w:rPr>
          <w:rFonts w:ascii="Times New Roman" w:hAnsi="Times New Roman"/>
          <w:i/>
          <w:sz w:val="24"/>
          <w:szCs w:val="24"/>
        </w:rPr>
        <w:t xml:space="preserve">Prosecutor v. </w:t>
      </w:r>
      <w:proofErr w:type="spellStart"/>
      <w:r w:rsidRPr="00C846C1">
        <w:rPr>
          <w:rFonts w:ascii="Times New Roman" w:hAnsi="Times New Roman"/>
          <w:i/>
          <w:sz w:val="24"/>
          <w:szCs w:val="24"/>
        </w:rPr>
        <w:t>Gatete</w:t>
      </w:r>
      <w:proofErr w:type="spellEnd"/>
      <w:r w:rsidRPr="00C846C1">
        <w:rPr>
          <w:rFonts w:ascii="Times New Roman" w:hAnsi="Times New Roman"/>
          <w:sz w:val="24"/>
          <w:szCs w:val="24"/>
        </w:rPr>
        <w:t>, issued in October 2012, the Appeals Chamber confirmed that the rule a</w:t>
      </w:r>
      <w:r w:rsidR="00EF4E4B">
        <w:rPr>
          <w:rFonts w:ascii="Times New Roman" w:hAnsi="Times New Roman"/>
          <w:sz w:val="24"/>
          <w:szCs w:val="24"/>
        </w:rPr>
        <w:t>gainst cumulative convictions i</w:t>
      </w:r>
      <w:r w:rsidRPr="00C846C1">
        <w:rPr>
          <w:rFonts w:ascii="Times New Roman" w:hAnsi="Times New Roman"/>
          <w:sz w:val="24"/>
          <w:szCs w:val="24"/>
        </w:rPr>
        <w:t>s not breached</w:t>
      </w:r>
      <w:r w:rsidR="00EF4E4B">
        <w:rPr>
          <w:rFonts w:ascii="Times New Roman" w:hAnsi="Times New Roman"/>
          <w:sz w:val="24"/>
          <w:szCs w:val="24"/>
        </w:rPr>
        <w:t xml:space="preserve"> when</w:t>
      </w:r>
      <w:r w:rsidR="00EF4E4B" w:rsidRPr="00C846C1">
        <w:rPr>
          <w:rFonts w:ascii="Times New Roman" w:hAnsi="Times New Roman"/>
          <w:sz w:val="24"/>
          <w:szCs w:val="24"/>
        </w:rPr>
        <w:t xml:space="preserve"> convictions for both genocide </w:t>
      </w:r>
      <w:r w:rsidR="00EF4E4B" w:rsidRPr="00C846C1">
        <w:rPr>
          <w:rFonts w:ascii="Times New Roman" w:hAnsi="Times New Roman"/>
          <w:i/>
          <w:sz w:val="24"/>
          <w:szCs w:val="24"/>
        </w:rPr>
        <w:t xml:space="preserve">per se </w:t>
      </w:r>
      <w:r w:rsidR="00EF4E4B" w:rsidRPr="00C846C1">
        <w:rPr>
          <w:rFonts w:ascii="Times New Roman" w:hAnsi="Times New Roman"/>
          <w:sz w:val="24"/>
          <w:szCs w:val="24"/>
        </w:rPr>
        <w:t>and conspiracy to commit genocide</w:t>
      </w:r>
      <w:r w:rsidR="00EF4E4B">
        <w:rPr>
          <w:rFonts w:ascii="Times New Roman" w:hAnsi="Times New Roman"/>
          <w:sz w:val="24"/>
          <w:szCs w:val="24"/>
        </w:rPr>
        <w:t xml:space="preserve"> are entered</w:t>
      </w:r>
      <w:r w:rsidRPr="00C846C1">
        <w:rPr>
          <w:rFonts w:ascii="Times New Roman" w:hAnsi="Times New Roman"/>
          <w:sz w:val="24"/>
          <w:szCs w:val="24"/>
        </w:rPr>
        <w:t>. The Cham</w:t>
      </w:r>
      <w:r w:rsidR="00EF4E4B">
        <w:rPr>
          <w:rFonts w:ascii="Times New Roman" w:hAnsi="Times New Roman"/>
          <w:sz w:val="24"/>
          <w:szCs w:val="24"/>
        </w:rPr>
        <w:t>ber reasoned that conspiracy does</w:t>
      </w:r>
      <w:r w:rsidRPr="00C846C1">
        <w:rPr>
          <w:rFonts w:ascii="Times New Roman" w:hAnsi="Times New Roman"/>
          <w:sz w:val="24"/>
          <w:szCs w:val="24"/>
        </w:rPr>
        <w:t xml:space="preserve"> not involve commission of the crime as such. It held that the two crimes, genocide and conspiracy, were distinct, and that ‘the crime of genocide has a materially distinct </w:t>
      </w:r>
      <w:proofErr w:type="spellStart"/>
      <w:r w:rsidRPr="00C846C1">
        <w:rPr>
          <w:rFonts w:ascii="Times New Roman" w:hAnsi="Times New Roman"/>
          <w:i/>
          <w:iCs/>
          <w:sz w:val="24"/>
          <w:szCs w:val="24"/>
        </w:rPr>
        <w:t>actus</w:t>
      </w:r>
      <w:proofErr w:type="spellEnd"/>
      <w:r w:rsidRPr="00C846C1">
        <w:rPr>
          <w:rFonts w:ascii="Times New Roman" w:hAnsi="Times New Roman"/>
          <w:i/>
          <w:iCs/>
          <w:sz w:val="24"/>
          <w:szCs w:val="24"/>
        </w:rPr>
        <w:t xml:space="preserve"> </w:t>
      </w:r>
      <w:proofErr w:type="spellStart"/>
      <w:proofErr w:type="gramStart"/>
      <w:r w:rsidRPr="00C846C1">
        <w:rPr>
          <w:rFonts w:ascii="Times New Roman" w:hAnsi="Times New Roman"/>
          <w:i/>
          <w:iCs/>
          <w:sz w:val="24"/>
          <w:szCs w:val="24"/>
        </w:rPr>
        <w:t>reus</w:t>
      </w:r>
      <w:proofErr w:type="spellEnd"/>
      <w:proofErr w:type="gramEnd"/>
      <w:r w:rsidRPr="00C846C1">
        <w:rPr>
          <w:rFonts w:ascii="Times New Roman" w:hAnsi="Times New Roman"/>
          <w:i/>
          <w:iCs/>
          <w:sz w:val="24"/>
          <w:szCs w:val="24"/>
        </w:rPr>
        <w:t xml:space="preserve"> </w:t>
      </w:r>
      <w:r w:rsidRPr="00C846C1">
        <w:rPr>
          <w:rFonts w:ascii="Times New Roman" w:hAnsi="Times New Roman"/>
          <w:sz w:val="24"/>
          <w:szCs w:val="24"/>
        </w:rPr>
        <w:t>from the crime of conspiracy to commit genocide and both crimes are based on different underlying conduct’. According to the Appeals Chamber, ‘[</w:t>
      </w:r>
      <w:proofErr w:type="gramStart"/>
      <w:r w:rsidRPr="00C846C1">
        <w:rPr>
          <w:rFonts w:ascii="Times New Roman" w:hAnsi="Times New Roman"/>
          <w:sz w:val="24"/>
          <w:szCs w:val="24"/>
        </w:rPr>
        <w:t>t]he</w:t>
      </w:r>
      <w:proofErr w:type="gramEnd"/>
      <w:r w:rsidRPr="00C846C1">
        <w:rPr>
          <w:rFonts w:ascii="Times New Roman" w:hAnsi="Times New Roman"/>
          <w:sz w:val="24"/>
          <w:szCs w:val="24"/>
        </w:rPr>
        <w:t xml:space="preserve"> crime of genocide requires the commission of one of the enumerated acts in Article 2(2) of the Statute, while the crime of conspiracy to commit genocide requires the act of entering into an agreement to </w:t>
      </w:r>
      <w:r w:rsidRPr="00C846C1">
        <w:rPr>
          <w:rFonts w:ascii="Times New Roman" w:hAnsi="Times New Roman"/>
          <w:sz w:val="24"/>
          <w:szCs w:val="24"/>
        </w:rPr>
        <w:lastRenderedPageBreak/>
        <w:t>commit genocide’.</w:t>
      </w:r>
      <w:r w:rsidRPr="00C846C1">
        <w:rPr>
          <w:rStyle w:val="FootnoteReference"/>
          <w:rFonts w:ascii="Times New Roman" w:hAnsi="Times New Roman"/>
          <w:sz w:val="24"/>
          <w:szCs w:val="24"/>
        </w:rPr>
        <w:footnoteReference w:id="31"/>
      </w:r>
      <w:r w:rsidRPr="00C846C1">
        <w:rPr>
          <w:rFonts w:ascii="Times New Roman" w:hAnsi="Times New Roman"/>
          <w:sz w:val="24"/>
          <w:szCs w:val="24"/>
        </w:rPr>
        <w:t xml:space="preserve"> </w:t>
      </w:r>
      <w:r w:rsidR="00B850C1" w:rsidRPr="00B850C1">
        <w:rPr>
          <w:rFonts w:ascii="Times New Roman" w:hAnsi="Times New Roman"/>
          <w:sz w:val="24"/>
          <w:szCs w:val="24"/>
        </w:rPr>
        <w:t>I</w:t>
      </w:r>
      <w:r w:rsidRPr="00B850C1">
        <w:rPr>
          <w:rFonts w:ascii="Times New Roman" w:hAnsi="Times New Roman"/>
          <w:sz w:val="24"/>
          <w:szCs w:val="24"/>
        </w:rPr>
        <w:t>t overturned the Trial Chamber’s holding to convict the a</w:t>
      </w:r>
      <w:r w:rsidRPr="00A178A0">
        <w:rPr>
          <w:rFonts w:ascii="Times New Roman" w:hAnsi="Times New Roman"/>
          <w:sz w:val="24"/>
          <w:szCs w:val="24"/>
        </w:rPr>
        <w:t xml:space="preserve">ccused of genocide but not to enter a conviction for conspiracy because ‘by convicting </w:t>
      </w:r>
      <w:proofErr w:type="spellStart"/>
      <w:r w:rsidRPr="00A178A0">
        <w:rPr>
          <w:rFonts w:ascii="Times New Roman" w:hAnsi="Times New Roman"/>
          <w:sz w:val="24"/>
          <w:szCs w:val="24"/>
        </w:rPr>
        <w:t>Gatete</w:t>
      </w:r>
      <w:proofErr w:type="spellEnd"/>
      <w:r w:rsidRPr="00A178A0">
        <w:rPr>
          <w:rFonts w:ascii="Times New Roman" w:hAnsi="Times New Roman"/>
          <w:sz w:val="24"/>
          <w:szCs w:val="24"/>
        </w:rPr>
        <w:t xml:space="preserve"> only of genocide while he was also found criminally responsible for conspiracy to commit genocide, the Trial Chamber failed to hold him responsible for the total</w:t>
      </w:r>
      <w:r w:rsidRPr="00467591">
        <w:rPr>
          <w:rFonts w:ascii="Times New Roman" w:hAnsi="Times New Roman"/>
          <w:sz w:val="24"/>
          <w:szCs w:val="24"/>
        </w:rPr>
        <w:t>ity of his criminal conduct, which included entering into the unlawful agreement to commit genocide’.</w:t>
      </w:r>
      <w:r w:rsidRPr="00C846C1">
        <w:rPr>
          <w:rStyle w:val="FootnoteReference"/>
          <w:rFonts w:ascii="Times New Roman" w:hAnsi="Times New Roman"/>
          <w:sz w:val="24"/>
          <w:szCs w:val="24"/>
        </w:rPr>
        <w:footnoteReference w:id="32"/>
      </w:r>
    </w:p>
    <w:p w14:paraId="30C44DFF" w14:textId="0647FD18" w:rsidR="00013B42" w:rsidRPr="00C846C1" w:rsidRDefault="00013B42" w:rsidP="007F0AD2">
      <w:pPr>
        <w:pStyle w:val="xmsonormal"/>
        <w:spacing w:before="0" w:beforeAutospacing="0" w:after="0" w:afterAutospacing="0" w:line="360" w:lineRule="auto"/>
        <w:ind w:firstLine="720"/>
        <w:jc w:val="both"/>
        <w:rPr>
          <w:rFonts w:ascii="Times New Roman" w:hAnsi="Times New Roman"/>
          <w:sz w:val="24"/>
          <w:szCs w:val="24"/>
          <w:lang w:val="en-GB"/>
        </w:rPr>
      </w:pPr>
      <w:r w:rsidRPr="00C846C1">
        <w:rPr>
          <w:rFonts w:ascii="Times New Roman" w:hAnsi="Times New Roman"/>
          <w:sz w:val="24"/>
          <w:szCs w:val="24"/>
        </w:rPr>
        <w:t xml:space="preserve">The Appeals Chamber also explained that by </w:t>
      </w:r>
      <w:proofErr w:type="spellStart"/>
      <w:r w:rsidR="00B850C1">
        <w:rPr>
          <w:rFonts w:ascii="Times New Roman" w:hAnsi="Times New Roman"/>
          <w:sz w:val="24"/>
          <w:szCs w:val="24"/>
        </w:rPr>
        <w:t>recogn</w:t>
      </w:r>
      <w:r w:rsidRPr="00C846C1">
        <w:rPr>
          <w:rFonts w:ascii="Times New Roman" w:hAnsi="Times New Roman"/>
          <w:sz w:val="24"/>
          <w:szCs w:val="24"/>
        </w:rPr>
        <w:t>i</w:t>
      </w:r>
      <w:r w:rsidR="00B850C1">
        <w:rPr>
          <w:rFonts w:ascii="Times New Roman" w:hAnsi="Times New Roman"/>
          <w:sz w:val="24"/>
          <w:szCs w:val="24"/>
        </w:rPr>
        <w:t>s</w:t>
      </w:r>
      <w:r w:rsidRPr="00C846C1">
        <w:rPr>
          <w:rFonts w:ascii="Times New Roman" w:hAnsi="Times New Roman"/>
          <w:sz w:val="24"/>
          <w:szCs w:val="24"/>
        </w:rPr>
        <w:t>ing</w:t>
      </w:r>
      <w:proofErr w:type="spellEnd"/>
      <w:r w:rsidRPr="00C846C1">
        <w:rPr>
          <w:rFonts w:ascii="Times New Roman" w:hAnsi="Times New Roman"/>
          <w:sz w:val="24"/>
          <w:szCs w:val="24"/>
        </w:rPr>
        <w:t xml:space="preserve"> conspiracy to commit genocide as an inchoate crime, the Genocide Convention ‘aims to prevent the commission of genocide’. However, it said ‘another reason for </w:t>
      </w:r>
      <w:proofErr w:type="spellStart"/>
      <w:r w:rsidRPr="00C846C1">
        <w:rPr>
          <w:rFonts w:ascii="Times New Roman" w:hAnsi="Times New Roman"/>
          <w:sz w:val="24"/>
          <w:szCs w:val="24"/>
        </w:rPr>
        <w:t>criminalising</w:t>
      </w:r>
      <w:proofErr w:type="spellEnd"/>
      <w:r w:rsidRPr="00C846C1">
        <w:rPr>
          <w:rFonts w:ascii="Times New Roman" w:hAnsi="Times New Roman"/>
          <w:sz w:val="24"/>
          <w:szCs w:val="24"/>
        </w:rPr>
        <w:t xml:space="preserve"> conspiracy to commit genocide is to punish the collaboration of a group of individuals resolved to commit genocide. The danger represented by such collaboration itself justifies the incrimination of acts of conspiracy, irrespective of whether the substantive crime of genocide has been committed.’</w:t>
      </w:r>
      <w:r w:rsidRPr="00C846C1">
        <w:rPr>
          <w:rStyle w:val="FootnoteReference"/>
          <w:rFonts w:ascii="Times New Roman" w:hAnsi="Times New Roman"/>
          <w:sz w:val="24"/>
          <w:szCs w:val="24"/>
        </w:rPr>
        <w:footnoteReference w:id="33"/>
      </w:r>
    </w:p>
    <w:p w14:paraId="75F10188" w14:textId="43DEA34A" w:rsidR="00013B42" w:rsidRPr="00C846C1" w:rsidRDefault="00013B42" w:rsidP="007F0AD2">
      <w:pPr>
        <w:pStyle w:val="xmsonormal"/>
        <w:spacing w:before="0" w:beforeAutospacing="0" w:after="0" w:afterAutospacing="0" w:line="360" w:lineRule="auto"/>
        <w:ind w:firstLine="720"/>
        <w:jc w:val="both"/>
        <w:rPr>
          <w:rFonts w:ascii="Times New Roman" w:hAnsi="Times New Roman"/>
          <w:sz w:val="24"/>
          <w:szCs w:val="24"/>
          <w:lang w:val="en-GB"/>
        </w:rPr>
      </w:pPr>
      <w:r w:rsidRPr="00C846C1">
        <w:rPr>
          <w:rFonts w:ascii="Times New Roman" w:hAnsi="Times New Roman"/>
          <w:sz w:val="24"/>
          <w:szCs w:val="24"/>
        </w:rPr>
        <w:t xml:space="preserve">One member of the Appeals Chamber, Judge </w:t>
      </w:r>
      <w:proofErr w:type="spellStart"/>
      <w:r w:rsidRPr="00C846C1">
        <w:rPr>
          <w:rFonts w:ascii="Times New Roman" w:hAnsi="Times New Roman"/>
          <w:sz w:val="24"/>
          <w:szCs w:val="24"/>
        </w:rPr>
        <w:t>Agius</w:t>
      </w:r>
      <w:proofErr w:type="spellEnd"/>
      <w:r w:rsidRPr="00C846C1">
        <w:rPr>
          <w:rFonts w:ascii="Times New Roman" w:hAnsi="Times New Roman"/>
          <w:sz w:val="24"/>
          <w:szCs w:val="24"/>
        </w:rPr>
        <w:t xml:space="preserve">, dissented on this point. Judge </w:t>
      </w:r>
      <w:proofErr w:type="spellStart"/>
      <w:r w:rsidRPr="00C846C1">
        <w:rPr>
          <w:rFonts w:ascii="Times New Roman" w:hAnsi="Times New Roman"/>
          <w:sz w:val="24"/>
          <w:szCs w:val="24"/>
        </w:rPr>
        <w:t>Agius</w:t>
      </w:r>
      <w:proofErr w:type="spellEnd"/>
      <w:r w:rsidRPr="00C846C1">
        <w:rPr>
          <w:rFonts w:ascii="Times New Roman" w:hAnsi="Times New Roman"/>
          <w:sz w:val="24"/>
          <w:szCs w:val="24"/>
        </w:rPr>
        <w:t xml:space="preserve"> had been the presiding judge in the </w:t>
      </w:r>
      <w:proofErr w:type="spellStart"/>
      <w:r w:rsidRPr="00C846C1">
        <w:rPr>
          <w:rFonts w:ascii="Times New Roman" w:hAnsi="Times New Roman"/>
          <w:i/>
          <w:sz w:val="24"/>
          <w:szCs w:val="24"/>
        </w:rPr>
        <w:t>Popović</w:t>
      </w:r>
      <w:proofErr w:type="spellEnd"/>
      <w:r w:rsidRPr="00C846C1">
        <w:rPr>
          <w:rFonts w:ascii="Times New Roman" w:hAnsi="Times New Roman"/>
          <w:i/>
          <w:sz w:val="24"/>
          <w:szCs w:val="24"/>
        </w:rPr>
        <w:t xml:space="preserve"> </w:t>
      </w:r>
      <w:r w:rsidRPr="00C846C1">
        <w:rPr>
          <w:rFonts w:ascii="Times New Roman" w:hAnsi="Times New Roman"/>
          <w:sz w:val="24"/>
          <w:szCs w:val="24"/>
        </w:rPr>
        <w:t xml:space="preserve">trial before the </w:t>
      </w:r>
      <w:r w:rsidR="007F0AD2">
        <w:rPr>
          <w:rFonts w:ascii="Times New Roman" w:hAnsi="Times New Roman"/>
          <w:sz w:val="24"/>
          <w:szCs w:val="24"/>
        </w:rPr>
        <w:t>International Criminal Tribunal for the former Yugoslavia, which is discussed below</w:t>
      </w:r>
      <w:r>
        <w:rPr>
          <w:rFonts w:ascii="Times New Roman" w:hAnsi="Times New Roman"/>
          <w:sz w:val="24"/>
          <w:szCs w:val="24"/>
        </w:rPr>
        <w:t xml:space="preserve">. In his dissenting opinion in </w:t>
      </w:r>
      <w:proofErr w:type="spellStart"/>
      <w:r w:rsidRPr="00C846C1">
        <w:rPr>
          <w:rFonts w:ascii="Times New Roman" w:hAnsi="Times New Roman"/>
          <w:i/>
          <w:sz w:val="24"/>
          <w:szCs w:val="24"/>
        </w:rPr>
        <w:t>Gatete</w:t>
      </w:r>
      <w:proofErr w:type="spellEnd"/>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xml:space="preserve">Judge </w:t>
      </w:r>
      <w:proofErr w:type="spellStart"/>
      <w:r>
        <w:rPr>
          <w:rFonts w:ascii="Times New Roman" w:hAnsi="Times New Roman"/>
          <w:sz w:val="24"/>
          <w:szCs w:val="24"/>
        </w:rPr>
        <w:t>Agius</w:t>
      </w:r>
      <w:proofErr w:type="spellEnd"/>
      <w:r w:rsidRPr="00C846C1">
        <w:rPr>
          <w:rFonts w:ascii="Times New Roman" w:hAnsi="Times New Roman"/>
          <w:sz w:val="24"/>
          <w:szCs w:val="24"/>
        </w:rPr>
        <w:t xml:space="preserve"> said that he did not disagree with the majority’s statement of the legal principles concerning the distinct nature of the crime of conspiracy to commit genocide. However, he considered that entering a conviction for conspiracy in addition to one for genocide raised problems of fairness to the accused.</w:t>
      </w:r>
      <w:r w:rsidRPr="00C846C1">
        <w:rPr>
          <w:rStyle w:val="FootnoteReference"/>
          <w:rFonts w:ascii="Times New Roman" w:hAnsi="Times New Roman"/>
          <w:sz w:val="24"/>
          <w:szCs w:val="24"/>
        </w:rPr>
        <w:footnoteReference w:id="34"/>
      </w:r>
      <w:r w:rsidRPr="00C846C1">
        <w:rPr>
          <w:rFonts w:ascii="Times New Roman" w:hAnsi="Times New Roman"/>
          <w:sz w:val="24"/>
          <w:szCs w:val="24"/>
        </w:rPr>
        <w:t xml:space="preserve"> He said he disagreed with the majority’s holding that the danger represented by the impugned collaboration itself justified the incrimination of acts of conspiracy, </w:t>
      </w:r>
      <w:r w:rsidRPr="00C846C1">
        <w:rPr>
          <w:rFonts w:ascii="Times New Roman" w:hAnsi="Times New Roman"/>
          <w:iCs/>
          <w:sz w:val="24"/>
          <w:szCs w:val="24"/>
        </w:rPr>
        <w:t>irrespective of whether the substantive crime of genocide has been committed.</w:t>
      </w:r>
      <w:r w:rsidRPr="00C846C1">
        <w:rPr>
          <w:rStyle w:val="FootnoteReference"/>
          <w:rFonts w:ascii="Times New Roman" w:hAnsi="Times New Roman"/>
          <w:iCs/>
          <w:sz w:val="24"/>
          <w:szCs w:val="24"/>
        </w:rPr>
        <w:footnoteReference w:id="35"/>
      </w:r>
      <w:r w:rsidRPr="00C846C1">
        <w:rPr>
          <w:rFonts w:ascii="Times New Roman" w:hAnsi="Times New Roman"/>
          <w:iCs/>
          <w:sz w:val="24"/>
          <w:szCs w:val="24"/>
        </w:rPr>
        <w:t xml:space="preserve"> He repeated the reasoning</w:t>
      </w:r>
      <w:r>
        <w:rPr>
          <w:rFonts w:ascii="Times New Roman" w:hAnsi="Times New Roman"/>
          <w:iCs/>
          <w:sz w:val="24"/>
          <w:szCs w:val="24"/>
        </w:rPr>
        <w:t xml:space="preserve"> he had advanced</w:t>
      </w:r>
      <w:r w:rsidRPr="00C846C1">
        <w:rPr>
          <w:rFonts w:ascii="Times New Roman" w:hAnsi="Times New Roman"/>
          <w:iCs/>
          <w:sz w:val="24"/>
          <w:szCs w:val="24"/>
        </w:rPr>
        <w:t xml:space="preserve"> in </w:t>
      </w:r>
      <w:proofErr w:type="spellStart"/>
      <w:r w:rsidRPr="00C846C1">
        <w:rPr>
          <w:rFonts w:ascii="Times New Roman" w:hAnsi="Times New Roman"/>
          <w:i/>
          <w:iCs/>
          <w:sz w:val="24"/>
          <w:szCs w:val="24"/>
        </w:rPr>
        <w:t>Popovi</w:t>
      </w:r>
      <w:r w:rsidRPr="00C846C1">
        <w:rPr>
          <w:rFonts w:ascii="Times New Roman" w:hAnsi="Times New Roman"/>
          <w:i/>
          <w:sz w:val="24"/>
          <w:szCs w:val="24"/>
        </w:rPr>
        <w:t>ć</w:t>
      </w:r>
      <w:proofErr w:type="spellEnd"/>
      <w:r w:rsidRPr="00C846C1">
        <w:rPr>
          <w:rFonts w:ascii="Times New Roman" w:hAnsi="Times New Roman"/>
          <w:i/>
          <w:iCs/>
          <w:sz w:val="24"/>
          <w:szCs w:val="24"/>
        </w:rPr>
        <w:t xml:space="preserve"> </w:t>
      </w:r>
      <w:r w:rsidRPr="00C846C1">
        <w:rPr>
          <w:rFonts w:ascii="Times New Roman" w:hAnsi="Times New Roman"/>
          <w:iCs/>
          <w:sz w:val="24"/>
          <w:szCs w:val="24"/>
        </w:rPr>
        <w:t>that once a person is convicted for genocide the rationale for adding a conviction for conspiracy becomes ‘less compelling’, especially when the criminal responsibility is based upon participation in a joint criminal enterprise.</w:t>
      </w:r>
      <w:r w:rsidRPr="00C846C1">
        <w:rPr>
          <w:rStyle w:val="FootnoteReference"/>
          <w:rFonts w:ascii="Times New Roman" w:hAnsi="Times New Roman"/>
          <w:iCs/>
          <w:sz w:val="24"/>
          <w:szCs w:val="24"/>
        </w:rPr>
        <w:footnoteReference w:id="36"/>
      </w:r>
    </w:p>
    <w:p w14:paraId="39D4ACB4" w14:textId="77777777" w:rsidR="00013B42" w:rsidRPr="00C846C1" w:rsidRDefault="00013B42" w:rsidP="00C848F4">
      <w:pPr>
        <w:pStyle w:val="xmsonormal"/>
        <w:spacing w:before="0" w:beforeAutospacing="0" w:after="0" w:afterAutospacing="0" w:line="360" w:lineRule="auto"/>
        <w:jc w:val="both"/>
        <w:rPr>
          <w:rFonts w:ascii="Times New Roman" w:hAnsi="Times New Roman"/>
          <w:sz w:val="24"/>
          <w:szCs w:val="24"/>
        </w:rPr>
      </w:pPr>
    </w:p>
    <w:p w14:paraId="2EF23741" w14:textId="77777777" w:rsidR="00013B42" w:rsidRPr="006C30E0" w:rsidRDefault="00013B42" w:rsidP="00C848F4">
      <w:pPr>
        <w:pStyle w:val="xmsonormal"/>
        <w:keepNext/>
        <w:spacing w:before="0" w:beforeAutospacing="0" w:after="0" w:afterAutospacing="0" w:line="360" w:lineRule="auto"/>
        <w:jc w:val="both"/>
        <w:rPr>
          <w:rFonts w:ascii="Times New Roman" w:hAnsi="Times New Roman"/>
          <w:b/>
          <w:sz w:val="24"/>
          <w:szCs w:val="24"/>
        </w:rPr>
      </w:pPr>
      <w:r>
        <w:rPr>
          <w:rFonts w:ascii="Times New Roman" w:hAnsi="Times New Roman"/>
          <w:b/>
          <w:sz w:val="24"/>
          <w:szCs w:val="24"/>
        </w:rPr>
        <w:lastRenderedPageBreak/>
        <w:t>International Criminal Court</w:t>
      </w:r>
    </w:p>
    <w:p w14:paraId="1D3E857E" w14:textId="77777777" w:rsidR="00013B42" w:rsidRPr="00750FA9" w:rsidRDefault="00013B42" w:rsidP="00C848F4">
      <w:pPr>
        <w:pStyle w:val="xmsonormal"/>
        <w:keepNext/>
        <w:spacing w:before="0" w:beforeAutospacing="0" w:after="0" w:afterAutospacing="0" w:line="360" w:lineRule="auto"/>
        <w:jc w:val="both"/>
        <w:rPr>
          <w:rFonts w:ascii="Times New Roman" w:hAnsi="Times New Roman"/>
          <w:sz w:val="24"/>
          <w:szCs w:val="24"/>
        </w:rPr>
      </w:pPr>
    </w:p>
    <w:p w14:paraId="114914C1" w14:textId="195F72AC" w:rsidR="007F0AD2" w:rsidRDefault="00013B42" w:rsidP="00C848F4">
      <w:pPr>
        <w:pStyle w:val="xmsonormal"/>
        <w:spacing w:before="0" w:beforeAutospacing="0" w:after="0" w:afterAutospacing="0" w:line="360" w:lineRule="auto"/>
        <w:jc w:val="both"/>
        <w:rPr>
          <w:rFonts w:ascii="Times New Roman" w:hAnsi="Times New Roman"/>
          <w:sz w:val="24"/>
          <w:szCs w:val="24"/>
          <w:lang w:val="en-GB"/>
        </w:rPr>
      </w:pPr>
      <w:r w:rsidRPr="00750FA9">
        <w:rPr>
          <w:rFonts w:ascii="Times New Roman" w:hAnsi="Times New Roman"/>
          <w:sz w:val="24"/>
          <w:szCs w:val="24"/>
        </w:rPr>
        <w:t xml:space="preserve">At the International Criminal Court, there is a pending charge of genocide in the proceedings directed against the President of Sudan, Omar </w:t>
      </w:r>
      <w:r>
        <w:rPr>
          <w:rFonts w:ascii="Times New Roman" w:hAnsi="Times New Roman"/>
          <w:sz w:val="24"/>
          <w:szCs w:val="24"/>
        </w:rPr>
        <w:t>A</w:t>
      </w:r>
      <w:r w:rsidRPr="00750FA9">
        <w:rPr>
          <w:rFonts w:ascii="Times New Roman" w:hAnsi="Times New Roman"/>
          <w:sz w:val="24"/>
          <w:szCs w:val="24"/>
        </w:rPr>
        <w:t>l Bashir. Because the Court has been unable to obtain custody over the accused, there have been no developments with respect to interpretation of the crime of genocide since the issuance of the arrest warrant</w:t>
      </w:r>
      <w:r>
        <w:rPr>
          <w:rFonts w:ascii="Times New Roman" w:hAnsi="Times New Roman"/>
          <w:sz w:val="24"/>
          <w:szCs w:val="24"/>
        </w:rPr>
        <w:t xml:space="preserve"> in 2010</w:t>
      </w:r>
      <w:r w:rsidRPr="00750FA9">
        <w:rPr>
          <w:rFonts w:ascii="Times New Roman" w:hAnsi="Times New Roman"/>
          <w:sz w:val="24"/>
          <w:szCs w:val="24"/>
        </w:rPr>
        <w:t xml:space="preserve">. </w:t>
      </w:r>
      <w:r w:rsidR="00B850C1">
        <w:rPr>
          <w:rFonts w:ascii="Times New Roman" w:hAnsi="Times New Roman"/>
          <w:sz w:val="24"/>
          <w:szCs w:val="24"/>
        </w:rPr>
        <w:t xml:space="preserve">Nevertheless, the decisions concerning issuance of the arrest warrant contain a very rich discussion of aspects of the law of genocide including significant references to </w:t>
      </w:r>
      <w:r w:rsidR="00225931">
        <w:rPr>
          <w:rFonts w:ascii="Times New Roman" w:hAnsi="Times New Roman"/>
          <w:sz w:val="24"/>
          <w:szCs w:val="24"/>
        </w:rPr>
        <w:t>the</w:t>
      </w:r>
      <w:r w:rsidR="00B850C1">
        <w:rPr>
          <w:rFonts w:ascii="Times New Roman" w:hAnsi="Times New Roman"/>
          <w:sz w:val="24"/>
          <w:szCs w:val="24"/>
        </w:rPr>
        <w:t xml:space="preserve"> 2007 ruling </w:t>
      </w:r>
      <w:r w:rsidR="00225931">
        <w:rPr>
          <w:rFonts w:ascii="Times New Roman" w:hAnsi="Times New Roman"/>
          <w:sz w:val="24"/>
          <w:szCs w:val="24"/>
        </w:rPr>
        <w:t xml:space="preserve">of the International Court of Justice </w:t>
      </w:r>
      <w:r w:rsidR="00B850C1">
        <w:rPr>
          <w:rFonts w:ascii="Times New Roman" w:hAnsi="Times New Roman"/>
          <w:sz w:val="24"/>
          <w:szCs w:val="24"/>
        </w:rPr>
        <w:t xml:space="preserve">in the </w:t>
      </w:r>
      <w:r w:rsidR="00B850C1" w:rsidRPr="00D57E61">
        <w:rPr>
          <w:rFonts w:ascii="Times New Roman" w:hAnsi="Times New Roman"/>
          <w:i/>
          <w:sz w:val="24"/>
          <w:szCs w:val="24"/>
        </w:rPr>
        <w:t>Bosnia</w:t>
      </w:r>
      <w:r w:rsidR="00B850C1">
        <w:rPr>
          <w:rFonts w:ascii="Times New Roman" w:hAnsi="Times New Roman"/>
          <w:i/>
          <w:sz w:val="24"/>
          <w:szCs w:val="24"/>
        </w:rPr>
        <w:t xml:space="preserve"> </w:t>
      </w:r>
      <w:r w:rsidR="00B850C1">
        <w:rPr>
          <w:rFonts w:ascii="Times New Roman" w:hAnsi="Times New Roman"/>
          <w:sz w:val="24"/>
          <w:szCs w:val="24"/>
        </w:rPr>
        <w:t>case.</w:t>
      </w:r>
    </w:p>
    <w:p w14:paraId="52E6ECA7" w14:textId="3BADDB93" w:rsidR="00B850C1" w:rsidRPr="00D57E61" w:rsidRDefault="00013B42" w:rsidP="007F0AD2">
      <w:pPr>
        <w:pStyle w:val="xmsonormal"/>
        <w:spacing w:before="0" w:beforeAutospacing="0" w:after="0" w:afterAutospacing="0" w:line="360" w:lineRule="auto"/>
        <w:ind w:firstLine="720"/>
        <w:jc w:val="both"/>
        <w:rPr>
          <w:rFonts w:ascii="Times New Roman" w:hAnsi="Times New Roman"/>
          <w:sz w:val="24"/>
          <w:szCs w:val="24"/>
          <w:lang w:val="en-GB"/>
        </w:rPr>
      </w:pPr>
      <w:r w:rsidRPr="00750FA9">
        <w:rPr>
          <w:rFonts w:ascii="Times New Roman" w:hAnsi="Times New Roman"/>
          <w:sz w:val="24"/>
          <w:szCs w:val="24"/>
        </w:rPr>
        <w:t xml:space="preserve">Pre-Trial Chamber </w:t>
      </w:r>
      <w:r>
        <w:rPr>
          <w:rFonts w:ascii="Times New Roman" w:hAnsi="Times New Roman"/>
          <w:sz w:val="24"/>
          <w:szCs w:val="24"/>
        </w:rPr>
        <w:t xml:space="preserve">I, to which the case was </w:t>
      </w:r>
      <w:r w:rsidRPr="00750FA9">
        <w:rPr>
          <w:rFonts w:ascii="Times New Roman" w:hAnsi="Times New Roman"/>
          <w:sz w:val="24"/>
          <w:szCs w:val="24"/>
        </w:rPr>
        <w:t xml:space="preserve">initially </w:t>
      </w:r>
      <w:r>
        <w:rPr>
          <w:rFonts w:ascii="Times New Roman" w:hAnsi="Times New Roman"/>
          <w:sz w:val="24"/>
          <w:szCs w:val="24"/>
        </w:rPr>
        <w:t xml:space="preserve">assigned, </w:t>
      </w:r>
      <w:r w:rsidR="00B850C1">
        <w:rPr>
          <w:rFonts w:ascii="Times New Roman" w:hAnsi="Times New Roman"/>
          <w:sz w:val="24"/>
          <w:szCs w:val="24"/>
        </w:rPr>
        <w:t xml:space="preserve">concurred with the Prosecutor’s application with respect to war crimes and crimes against humanity but it </w:t>
      </w:r>
      <w:r w:rsidRPr="00750FA9">
        <w:rPr>
          <w:rFonts w:ascii="Times New Roman" w:hAnsi="Times New Roman"/>
          <w:sz w:val="24"/>
          <w:szCs w:val="24"/>
        </w:rPr>
        <w:t xml:space="preserve">declined to </w:t>
      </w:r>
      <w:proofErr w:type="spellStart"/>
      <w:r w:rsidRPr="00750FA9">
        <w:rPr>
          <w:rFonts w:ascii="Times New Roman" w:hAnsi="Times New Roman"/>
          <w:sz w:val="24"/>
          <w:szCs w:val="24"/>
        </w:rPr>
        <w:t>authorise</w:t>
      </w:r>
      <w:proofErr w:type="spellEnd"/>
      <w:r w:rsidRPr="00750FA9">
        <w:rPr>
          <w:rFonts w:ascii="Times New Roman" w:hAnsi="Times New Roman"/>
          <w:sz w:val="24"/>
          <w:szCs w:val="24"/>
        </w:rPr>
        <w:t xml:space="preserve"> a charge of genocide when it issued the arrest warrant in this case.</w:t>
      </w:r>
      <w:r w:rsidRPr="00750FA9">
        <w:rPr>
          <w:rStyle w:val="FootnoteReference"/>
          <w:rFonts w:ascii="Times New Roman" w:hAnsi="Times New Roman"/>
          <w:sz w:val="24"/>
          <w:szCs w:val="24"/>
        </w:rPr>
        <w:footnoteReference w:id="37"/>
      </w:r>
      <w:r w:rsidRPr="00750FA9">
        <w:rPr>
          <w:rFonts w:ascii="Times New Roman" w:hAnsi="Times New Roman"/>
          <w:sz w:val="24"/>
          <w:szCs w:val="24"/>
        </w:rPr>
        <w:t xml:space="preserve"> The decision was later overturned, the Appeals Chamber considering that the standard the Pre-Trial Chamber had set for determining the charges it would </w:t>
      </w:r>
      <w:proofErr w:type="spellStart"/>
      <w:r w:rsidRPr="00750FA9">
        <w:rPr>
          <w:rFonts w:ascii="Times New Roman" w:hAnsi="Times New Roman"/>
          <w:sz w:val="24"/>
          <w:szCs w:val="24"/>
        </w:rPr>
        <w:t>authorise</w:t>
      </w:r>
      <w:proofErr w:type="spellEnd"/>
      <w:r w:rsidRPr="00750FA9">
        <w:rPr>
          <w:rFonts w:ascii="Times New Roman" w:hAnsi="Times New Roman"/>
          <w:sz w:val="24"/>
          <w:szCs w:val="24"/>
        </w:rPr>
        <w:t xml:space="preserve"> was too demanding</w:t>
      </w:r>
      <w:r>
        <w:rPr>
          <w:rFonts w:ascii="Times New Roman" w:hAnsi="Times New Roman"/>
          <w:sz w:val="24"/>
          <w:szCs w:val="24"/>
        </w:rPr>
        <w:t xml:space="preserve"> at this stage of proceedings</w:t>
      </w:r>
      <w:r w:rsidRPr="00750FA9">
        <w:rPr>
          <w:rFonts w:ascii="Times New Roman" w:hAnsi="Times New Roman"/>
          <w:sz w:val="24"/>
          <w:szCs w:val="24"/>
        </w:rPr>
        <w:t>.</w:t>
      </w:r>
      <w:r w:rsidRPr="00750FA9">
        <w:rPr>
          <w:rStyle w:val="FootnoteReference"/>
          <w:rFonts w:ascii="Times New Roman" w:hAnsi="Times New Roman"/>
          <w:sz w:val="24"/>
          <w:szCs w:val="24"/>
        </w:rPr>
        <w:footnoteReference w:id="38"/>
      </w:r>
      <w:r w:rsidRPr="00750FA9">
        <w:rPr>
          <w:rFonts w:ascii="Times New Roman" w:hAnsi="Times New Roman"/>
          <w:sz w:val="24"/>
          <w:szCs w:val="24"/>
        </w:rPr>
        <w:t xml:space="preserve"> The Pre-Trial Chamber subsequently added the genocide charge to the </w:t>
      </w:r>
      <w:r>
        <w:rPr>
          <w:rFonts w:ascii="Times New Roman" w:hAnsi="Times New Roman"/>
          <w:sz w:val="24"/>
          <w:szCs w:val="24"/>
        </w:rPr>
        <w:t>A</w:t>
      </w:r>
      <w:r w:rsidRPr="00750FA9">
        <w:rPr>
          <w:rFonts w:ascii="Times New Roman" w:hAnsi="Times New Roman"/>
          <w:sz w:val="24"/>
          <w:szCs w:val="24"/>
        </w:rPr>
        <w:t>l Bashir arrest warrant.</w:t>
      </w:r>
      <w:r w:rsidRPr="00750FA9">
        <w:rPr>
          <w:rStyle w:val="FootnoteReference"/>
          <w:rFonts w:ascii="Times New Roman" w:hAnsi="Times New Roman"/>
          <w:sz w:val="24"/>
          <w:szCs w:val="24"/>
        </w:rPr>
        <w:footnoteReference w:id="39"/>
      </w:r>
      <w:r w:rsidRPr="00750FA9">
        <w:rPr>
          <w:rFonts w:ascii="Times New Roman" w:hAnsi="Times New Roman"/>
          <w:sz w:val="24"/>
          <w:szCs w:val="24"/>
        </w:rPr>
        <w:t xml:space="preserve"> Much of the initial ruling on issuance of the arrest warrant consisted of a discussion of the definition of genocide. There was also a substantial dissenting opinion </w:t>
      </w:r>
      <w:r w:rsidR="00B850C1">
        <w:rPr>
          <w:rFonts w:ascii="Times New Roman" w:hAnsi="Times New Roman"/>
          <w:sz w:val="24"/>
          <w:szCs w:val="24"/>
        </w:rPr>
        <w:t>about</w:t>
      </w:r>
      <w:r w:rsidRPr="00750FA9">
        <w:rPr>
          <w:rFonts w:ascii="Times New Roman" w:hAnsi="Times New Roman"/>
          <w:sz w:val="24"/>
          <w:szCs w:val="24"/>
        </w:rPr>
        <w:t xml:space="preserve"> the majority’s exclusion of the crime of genocide from the warrant. The two subsequent decisions, of the Appeals Chamber and the Pre-Trial Chamber, do not really contribute anything of interest with respect to interpretation of the definition of genocide.</w:t>
      </w:r>
    </w:p>
    <w:p w14:paraId="0293F431" w14:textId="1CD09C7C" w:rsidR="00013B42" w:rsidRPr="00750FA9" w:rsidRDefault="007F0AD2" w:rsidP="007F0AD2">
      <w:pPr>
        <w:pStyle w:val="xmsonormal"/>
        <w:spacing w:before="0" w:beforeAutospacing="0" w:after="0" w:afterAutospacing="0" w:line="360" w:lineRule="auto"/>
        <w:ind w:firstLine="720"/>
        <w:jc w:val="both"/>
        <w:rPr>
          <w:rFonts w:ascii="Times New Roman" w:hAnsi="Times New Roman"/>
          <w:sz w:val="24"/>
          <w:szCs w:val="24"/>
          <w:lang w:val="en-GB"/>
        </w:rPr>
      </w:pPr>
      <w:r>
        <w:rPr>
          <w:rFonts w:ascii="Times New Roman" w:hAnsi="Times New Roman"/>
          <w:sz w:val="24"/>
          <w:szCs w:val="24"/>
        </w:rPr>
        <w:t>T</w:t>
      </w:r>
      <w:r w:rsidR="00013B42" w:rsidRPr="00750FA9">
        <w:rPr>
          <w:rFonts w:ascii="Times New Roman" w:hAnsi="Times New Roman"/>
          <w:sz w:val="24"/>
          <w:szCs w:val="24"/>
        </w:rPr>
        <w:t xml:space="preserve">he Pre-Trial Chamber invoked the 2007 judgment of the </w:t>
      </w:r>
      <w:r>
        <w:rPr>
          <w:rFonts w:ascii="Times New Roman" w:hAnsi="Times New Roman"/>
          <w:sz w:val="24"/>
          <w:szCs w:val="24"/>
        </w:rPr>
        <w:t>International Court of Justice</w:t>
      </w:r>
      <w:r w:rsidR="00013B42" w:rsidRPr="00750FA9">
        <w:rPr>
          <w:rFonts w:ascii="Times New Roman" w:hAnsi="Times New Roman"/>
          <w:sz w:val="24"/>
          <w:szCs w:val="24"/>
        </w:rPr>
        <w:t xml:space="preserve"> on more than </w:t>
      </w:r>
      <w:r w:rsidR="005E687E">
        <w:rPr>
          <w:rFonts w:ascii="Times New Roman" w:hAnsi="Times New Roman"/>
          <w:sz w:val="24"/>
          <w:szCs w:val="24"/>
        </w:rPr>
        <w:t>twenty</w:t>
      </w:r>
      <w:r w:rsidR="00013B42" w:rsidRPr="00750FA9">
        <w:rPr>
          <w:rFonts w:ascii="Times New Roman" w:hAnsi="Times New Roman"/>
          <w:sz w:val="24"/>
          <w:szCs w:val="24"/>
        </w:rPr>
        <w:t xml:space="preserve"> occasions. At no point did it suggest that it disagreed with any aspect of the decision of the </w:t>
      </w:r>
      <w:r w:rsidR="005E687E">
        <w:rPr>
          <w:rFonts w:ascii="Times New Roman" w:hAnsi="Times New Roman"/>
          <w:sz w:val="24"/>
          <w:szCs w:val="24"/>
        </w:rPr>
        <w:t>Court</w:t>
      </w:r>
      <w:r w:rsidR="00013B42" w:rsidRPr="00750FA9">
        <w:rPr>
          <w:rFonts w:ascii="Times New Roman" w:hAnsi="Times New Roman"/>
          <w:sz w:val="24"/>
          <w:szCs w:val="24"/>
        </w:rPr>
        <w:t>.</w:t>
      </w:r>
      <w:r w:rsidR="00013B42" w:rsidRPr="00750FA9">
        <w:rPr>
          <w:rStyle w:val="FootnoteReference"/>
          <w:rFonts w:ascii="Times New Roman" w:hAnsi="Times New Roman"/>
          <w:sz w:val="24"/>
          <w:szCs w:val="24"/>
        </w:rPr>
        <w:footnoteReference w:id="40"/>
      </w:r>
    </w:p>
    <w:p w14:paraId="010B9EDF" w14:textId="21360F48" w:rsidR="00013B42" w:rsidRPr="00750FA9" w:rsidRDefault="00013B42" w:rsidP="005E687E">
      <w:pPr>
        <w:pStyle w:val="xmsonormal"/>
        <w:spacing w:before="0" w:beforeAutospacing="0" w:after="0" w:afterAutospacing="0" w:line="360" w:lineRule="auto"/>
        <w:ind w:firstLine="720"/>
        <w:jc w:val="both"/>
        <w:rPr>
          <w:rFonts w:ascii="Times New Roman" w:hAnsi="Times New Roman"/>
          <w:sz w:val="24"/>
          <w:szCs w:val="24"/>
          <w:lang w:val="en-GB"/>
        </w:rPr>
      </w:pPr>
      <w:r w:rsidRPr="00750FA9">
        <w:rPr>
          <w:rFonts w:ascii="Times New Roman" w:hAnsi="Times New Roman"/>
          <w:sz w:val="24"/>
          <w:szCs w:val="24"/>
        </w:rPr>
        <w:lastRenderedPageBreak/>
        <w:t xml:space="preserve">An important feature of the </w:t>
      </w:r>
      <w:r w:rsidR="005E687E">
        <w:rPr>
          <w:rFonts w:ascii="Times New Roman" w:hAnsi="Times New Roman"/>
          <w:sz w:val="24"/>
          <w:szCs w:val="24"/>
        </w:rPr>
        <w:t>International Criminal Court</w:t>
      </w:r>
      <w:r w:rsidRPr="00750FA9">
        <w:rPr>
          <w:rFonts w:ascii="Times New Roman" w:hAnsi="Times New Roman"/>
          <w:sz w:val="24"/>
          <w:szCs w:val="24"/>
        </w:rPr>
        <w:t>’s interpretation of the scope of the crime is its consideration of an additional source of law, the Elements of Crimes. This is a secondary instrument adopted by the Assembly of States Parties whose purpose, according to article 9(1) of the Rome Statute, is to ‘assist the Court in the interpretation and application’ of definitions of crimes contained in articles 6, 7, 8 and 8</w:t>
      </w:r>
      <w:r w:rsidRPr="00BA1F29">
        <w:rPr>
          <w:rFonts w:ascii="Times New Roman" w:hAnsi="Times New Roman"/>
          <w:i/>
          <w:sz w:val="24"/>
          <w:szCs w:val="24"/>
        </w:rPr>
        <w:t>bis</w:t>
      </w:r>
      <w:r w:rsidRPr="00750FA9">
        <w:rPr>
          <w:rFonts w:ascii="Times New Roman" w:hAnsi="Times New Roman"/>
          <w:sz w:val="24"/>
          <w:szCs w:val="24"/>
        </w:rPr>
        <w:t>. They are required to be ‘consistent’ with the Rome Statute,</w:t>
      </w:r>
      <w:r w:rsidRPr="00750FA9">
        <w:rPr>
          <w:rStyle w:val="FootnoteReference"/>
          <w:rFonts w:ascii="Times New Roman" w:hAnsi="Times New Roman"/>
          <w:sz w:val="24"/>
          <w:szCs w:val="24"/>
        </w:rPr>
        <w:footnoteReference w:id="41"/>
      </w:r>
      <w:r w:rsidRPr="00750FA9">
        <w:rPr>
          <w:rFonts w:ascii="Times New Roman" w:hAnsi="Times New Roman"/>
          <w:sz w:val="24"/>
          <w:szCs w:val="24"/>
        </w:rPr>
        <w:t xml:space="preserve"> and are listed </w:t>
      </w:r>
      <w:r w:rsidR="00B850C1">
        <w:rPr>
          <w:rFonts w:ascii="Times New Roman" w:hAnsi="Times New Roman"/>
          <w:sz w:val="24"/>
          <w:szCs w:val="24"/>
        </w:rPr>
        <w:t>in article 2</w:t>
      </w:r>
      <w:r w:rsidRPr="00750FA9">
        <w:rPr>
          <w:rFonts w:ascii="Times New Roman" w:hAnsi="Times New Roman"/>
          <w:sz w:val="24"/>
          <w:szCs w:val="24"/>
        </w:rPr>
        <w:t xml:space="preserve"> as the sources of law to be applied ‘in the first place’</w:t>
      </w:r>
      <w:r w:rsidR="00B850C1">
        <w:rPr>
          <w:rFonts w:ascii="Times New Roman" w:hAnsi="Times New Roman"/>
          <w:sz w:val="24"/>
          <w:szCs w:val="24"/>
        </w:rPr>
        <w:t>,</w:t>
      </w:r>
      <w:r w:rsidRPr="00750FA9">
        <w:rPr>
          <w:rStyle w:val="FootnoteReference"/>
          <w:rFonts w:ascii="Times New Roman" w:hAnsi="Times New Roman"/>
          <w:sz w:val="24"/>
          <w:szCs w:val="24"/>
        </w:rPr>
        <w:footnoteReference w:id="42"/>
      </w:r>
      <w:r w:rsidR="00B850C1">
        <w:rPr>
          <w:rFonts w:ascii="Times New Roman" w:hAnsi="Times New Roman"/>
          <w:sz w:val="24"/>
          <w:szCs w:val="24"/>
        </w:rPr>
        <w:t xml:space="preserve"> </w:t>
      </w:r>
      <w:r w:rsidR="00B850C1" w:rsidRPr="00750FA9">
        <w:rPr>
          <w:rFonts w:ascii="Times New Roman" w:hAnsi="Times New Roman"/>
          <w:sz w:val="24"/>
          <w:szCs w:val="24"/>
        </w:rPr>
        <w:t>along with the Statute and the Rules of Procedure and Evidence</w:t>
      </w:r>
      <w:r w:rsidR="00B850C1">
        <w:rPr>
          <w:rFonts w:ascii="Times New Roman" w:hAnsi="Times New Roman"/>
          <w:sz w:val="24"/>
          <w:szCs w:val="24"/>
        </w:rPr>
        <w:t>.</w:t>
      </w:r>
    </w:p>
    <w:p w14:paraId="35DA84CA" w14:textId="66C4FDAE" w:rsidR="00013B42" w:rsidRPr="00750FA9" w:rsidRDefault="00013B42" w:rsidP="005E687E">
      <w:pPr>
        <w:pStyle w:val="xmsonormal"/>
        <w:spacing w:before="0" w:beforeAutospacing="0" w:after="0" w:afterAutospacing="0" w:line="360" w:lineRule="auto"/>
        <w:ind w:firstLine="720"/>
        <w:jc w:val="both"/>
        <w:rPr>
          <w:rFonts w:ascii="Times New Roman" w:hAnsi="Times New Roman"/>
          <w:sz w:val="24"/>
          <w:szCs w:val="24"/>
          <w:lang w:val="en-GB"/>
        </w:rPr>
      </w:pPr>
      <w:r w:rsidRPr="00750FA9">
        <w:rPr>
          <w:rFonts w:ascii="Times New Roman" w:hAnsi="Times New Roman"/>
          <w:sz w:val="24"/>
          <w:szCs w:val="24"/>
        </w:rPr>
        <w:t xml:space="preserve">The Elements largely echo the text of article 6 of the Statute, which is essentially identical </w:t>
      </w:r>
      <w:r w:rsidR="00BA1F29">
        <w:rPr>
          <w:rFonts w:ascii="Times New Roman" w:hAnsi="Times New Roman"/>
          <w:sz w:val="24"/>
          <w:szCs w:val="24"/>
        </w:rPr>
        <w:t>to</w:t>
      </w:r>
      <w:r w:rsidRPr="00750FA9">
        <w:rPr>
          <w:rFonts w:ascii="Times New Roman" w:hAnsi="Times New Roman"/>
          <w:sz w:val="24"/>
          <w:szCs w:val="24"/>
        </w:rPr>
        <w:t xml:space="preserve"> article 2 of the 1948 Genocide Convention. However, they also contain some language that is not part of that text. In the </w:t>
      </w:r>
      <w:r w:rsidRPr="00750FA9">
        <w:rPr>
          <w:rFonts w:ascii="Times New Roman" w:hAnsi="Times New Roman"/>
          <w:i/>
          <w:sz w:val="24"/>
          <w:szCs w:val="24"/>
        </w:rPr>
        <w:t xml:space="preserve">Bashir </w:t>
      </w:r>
      <w:r w:rsidRPr="00750FA9">
        <w:rPr>
          <w:rFonts w:ascii="Times New Roman" w:hAnsi="Times New Roman"/>
          <w:sz w:val="24"/>
          <w:szCs w:val="24"/>
        </w:rPr>
        <w:t>arrest warrant decision, the majority said that in this way the Elements of Crimes ‘elaborate on the definition of genocide provided for in article 6 of the Statute’.</w:t>
      </w:r>
      <w:r w:rsidRPr="00750FA9">
        <w:rPr>
          <w:rStyle w:val="FootnoteReference"/>
          <w:rFonts w:ascii="Times New Roman" w:hAnsi="Times New Roman"/>
          <w:sz w:val="24"/>
          <w:szCs w:val="24"/>
        </w:rPr>
        <w:footnoteReference w:id="43"/>
      </w:r>
      <w:r w:rsidRPr="00750FA9">
        <w:rPr>
          <w:rFonts w:ascii="Times New Roman" w:hAnsi="Times New Roman"/>
          <w:sz w:val="24"/>
          <w:szCs w:val="24"/>
        </w:rPr>
        <w:t xml:space="preserve"> First, they require that the victims belong to the targeted group. Second, they require that the punishable </w:t>
      </w:r>
      <w:proofErr w:type="gramStart"/>
      <w:r w:rsidRPr="00750FA9">
        <w:rPr>
          <w:rFonts w:ascii="Times New Roman" w:hAnsi="Times New Roman"/>
          <w:sz w:val="24"/>
          <w:szCs w:val="24"/>
        </w:rPr>
        <w:t>acts</w:t>
      </w:r>
      <w:proofErr w:type="gramEnd"/>
      <w:r w:rsidRPr="00750FA9">
        <w:rPr>
          <w:rFonts w:ascii="Times New Roman" w:hAnsi="Times New Roman"/>
          <w:sz w:val="24"/>
          <w:szCs w:val="24"/>
        </w:rPr>
        <w:t xml:space="preserve"> - killings, serious bodily or mental harm, imposition of conditions of life - take place ‘in the context of a manifest pattern of similar conduct directed against that group or was conduct that could itself effect such destruction’. Third, they specify that the perpetrator act with the intent to destroy in whole or in part the targeted group. The first and third of these elements do not raise any particular difficulties. They find much support in the case law of the </w:t>
      </w:r>
      <w:r w:rsidRPr="00750FA9">
        <w:rPr>
          <w:rFonts w:ascii="Times New Roman" w:hAnsi="Times New Roman"/>
          <w:i/>
          <w:sz w:val="24"/>
          <w:szCs w:val="24"/>
        </w:rPr>
        <w:t xml:space="preserve">ad hoc </w:t>
      </w:r>
      <w:r w:rsidRPr="00750FA9">
        <w:rPr>
          <w:rFonts w:ascii="Times New Roman" w:hAnsi="Times New Roman"/>
          <w:sz w:val="24"/>
          <w:szCs w:val="24"/>
        </w:rPr>
        <w:t xml:space="preserve">tribunals, the </w:t>
      </w:r>
      <w:r w:rsidRPr="00750FA9">
        <w:rPr>
          <w:rFonts w:ascii="Times New Roman" w:hAnsi="Times New Roman"/>
          <w:i/>
          <w:sz w:val="24"/>
          <w:szCs w:val="24"/>
        </w:rPr>
        <w:t xml:space="preserve">travaux préparatoires </w:t>
      </w:r>
      <w:r w:rsidRPr="00750FA9">
        <w:rPr>
          <w:rFonts w:ascii="Times New Roman" w:hAnsi="Times New Roman"/>
          <w:sz w:val="24"/>
          <w:szCs w:val="24"/>
        </w:rPr>
        <w:t>and the scholarly literature. The second element is more controversial.</w:t>
      </w:r>
    </w:p>
    <w:p w14:paraId="7FA54E66" w14:textId="116319F8" w:rsidR="005E687E" w:rsidRDefault="00013B42" w:rsidP="005E687E">
      <w:pPr>
        <w:pStyle w:val="xmsonormal"/>
        <w:spacing w:before="0" w:beforeAutospacing="0" w:after="0" w:afterAutospacing="0" w:line="360" w:lineRule="auto"/>
        <w:ind w:firstLine="720"/>
        <w:jc w:val="both"/>
        <w:rPr>
          <w:rFonts w:ascii="Times New Roman" w:hAnsi="Times New Roman"/>
          <w:sz w:val="24"/>
          <w:szCs w:val="24"/>
        </w:rPr>
      </w:pPr>
      <w:r w:rsidRPr="00750FA9">
        <w:rPr>
          <w:rFonts w:ascii="Times New Roman" w:hAnsi="Times New Roman"/>
          <w:sz w:val="24"/>
          <w:szCs w:val="24"/>
        </w:rPr>
        <w:t>It appears that the second of these elements, namely the requirement that genocidal acts t</w:t>
      </w:r>
      <w:r w:rsidR="00B850C1">
        <w:rPr>
          <w:rFonts w:ascii="Times New Roman" w:hAnsi="Times New Roman"/>
          <w:sz w:val="24"/>
          <w:szCs w:val="24"/>
        </w:rPr>
        <w:t>ook</w:t>
      </w:r>
      <w:r w:rsidRPr="00750FA9">
        <w:rPr>
          <w:rFonts w:ascii="Times New Roman" w:hAnsi="Times New Roman"/>
          <w:sz w:val="24"/>
          <w:szCs w:val="24"/>
        </w:rPr>
        <w:t xml:space="preserve"> place ‘in the context of a manifest pattern of similar conduct directed against that group or was conduct that could itself effect such destruction’, was not included in the original drafts of the Elements of Crimes debated by the Preparatory Commission of the </w:t>
      </w:r>
      <w:r w:rsidR="00BA1F29">
        <w:rPr>
          <w:rFonts w:ascii="Times New Roman" w:hAnsi="Times New Roman"/>
          <w:sz w:val="24"/>
          <w:szCs w:val="24"/>
        </w:rPr>
        <w:t>International Criminal Court</w:t>
      </w:r>
      <w:r w:rsidRPr="00750FA9">
        <w:rPr>
          <w:rFonts w:ascii="Times New Roman" w:hAnsi="Times New Roman"/>
          <w:sz w:val="24"/>
          <w:szCs w:val="24"/>
        </w:rPr>
        <w:t xml:space="preserve"> during its 1999 sessions.</w:t>
      </w:r>
      <w:r w:rsidRPr="00750FA9">
        <w:rPr>
          <w:rStyle w:val="FootnoteReference"/>
          <w:rFonts w:ascii="Times New Roman" w:hAnsi="Times New Roman"/>
          <w:sz w:val="24"/>
          <w:szCs w:val="24"/>
        </w:rPr>
        <w:footnoteReference w:id="44"/>
      </w:r>
      <w:r w:rsidRPr="00750FA9">
        <w:rPr>
          <w:rFonts w:ascii="Times New Roman" w:hAnsi="Times New Roman"/>
          <w:sz w:val="24"/>
          <w:szCs w:val="24"/>
        </w:rPr>
        <w:t xml:space="preserve"> This </w:t>
      </w:r>
      <w:r w:rsidR="00B850C1">
        <w:rPr>
          <w:rFonts w:ascii="Times New Roman" w:hAnsi="Times New Roman"/>
          <w:sz w:val="24"/>
          <w:szCs w:val="24"/>
        </w:rPr>
        <w:t>E</w:t>
      </w:r>
      <w:r w:rsidRPr="00750FA9">
        <w:rPr>
          <w:rFonts w:ascii="Times New Roman" w:hAnsi="Times New Roman"/>
          <w:sz w:val="24"/>
          <w:szCs w:val="24"/>
        </w:rPr>
        <w:t>lement was added to the draft at the beginning of 2000,</w:t>
      </w:r>
      <w:r w:rsidRPr="00750FA9">
        <w:rPr>
          <w:rStyle w:val="FootnoteReference"/>
          <w:rFonts w:ascii="Times New Roman" w:hAnsi="Times New Roman"/>
          <w:sz w:val="24"/>
          <w:szCs w:val="24"/>
        </w:rPr>
        <w:footnoteReference w:id="45"/>
      </w:r>
      <w:r w:rsidRPr="00750FA9">
        <w:rPr>
          <w:rFonts w:ascii="Times New Roman" w:hAnsi="Times New Roman"/>
          <w:sz w:val="24"/>
          <w:szCs w:val="24"/>
        </w:rPr>
        <w:t xml:space="preserve"> apparently in reaction to the first judgment of the </w:t>
      </w:r>
      <w:r w:rsidR="00BA1F29">
        <w:rPr>
          <w:rFonts w:ascii="Times New Roman" w:hAnsi="Times New Roman"/>
          <w:sz w:val="24"/>
          <w:szCs w:val="24"/>
        </w:rPr>
        <w:t>Yugoslavia Tribunal</w:t>
      </w:r>
      <w:r w:rsidRPr="00750FA9">
        <w:rPr>
          <w:rFonts w:ascii="Times New Roman" w:hAnsi="Times New Roman"/>
          <w:sz w:val="24"/>
          <w:szCs w:val="24"/>
        </w:rPr>
        <w:t xml:space="preserve"> that dealt with the merits </w:t>
      </w:r>
      <w:r w:rsidRPr="00750FA9">
        <w:rPr>
          <w:rFonts w:ascii="Times New Roman" w:hAnsi="Times New Roman"/>
          <w:sz w:val="24"/>
          <w:szCs w:val="24"/>
        </w:rPr>
        <w:lastRenderedPageBreak/>
        <w:t>of a genocide charge.</w:t>
      </w:r>
      <w:r w:rsidRPr="00750FA9">
        <w:rPr>
          <w:rStyle w:val="FootnoteReference"/>
          <w:rFonts w:ascii="Times New Roman" w:hAnsi="Times New Roman"/>
          <w:sz w:val="24"/>
          <w:szCs w:val="24"/>
        </w:rPr>
        <w:footnoteReference w:id="46"/>
      </w:r>
      <w:r w:rsidRPr="00750FA9">
        <w:rPr>
          <w:rFonts w:ascii="Times New Roman" w:hAnsi="Times New Roman"/>
          <w:sz w:val="24"/>
          <w:szCs w:val="24"/>
        </w:rPr>
        <w:t xml:space="preserve"> In that ruling, a Trial Chamber of the Tribunal held that genocide could be committed by an individual acting alone, even in the absence of evidence that this was part of some larger policy, plan, or campaign involving others, and without any requirement that the intentions of the individual perpetrator had any reasonable chance of being achieved. Those who drafted the Elements of Crimes appear to have added the requirements of a manifest pattern of similar conduct or conduct that could itself effect such destruction in order to prevent the </w:t>
      </w:r>
      <w:r w:rsidR="005E687E">
        <w:rPr>
          <w:rFonts w:ascii="Times New Roman" w:hAnsi="Times New Roman"/>
          <w:sz w:val="24"/>
          <w:szCs w:val="24"/>
        </w:rPr>
        <w:t>International Criminal Court</w:t>
      </w:r>
      <w:r w:rsidRPr="00750FA9">
        <w:rPr>
          <w:rFonts w:ascii="Times New Roman" w:hAnsi="Times New Roman"/>
          <w:sz w:val="24"/>
          <w:szCs w:val="24"/>
        </w:rPr>
        <w:t xml:space="preserve"> from adopting a similar interpretation of the scope of the crime of genocide.</w:t>
      </w:r>
    </w:p>
    <w:p w14:paraId="7E49868A" w14:textId="3996C466" w:rsidR="005E687E" w:rsidRPr="005E687E" w:rsidRDefault="00013B42" w:rsidP="005E687E">
      <w:pPr>
        <w:pStyle w:val="xmsonormal"/>
        <w:spacing w:before="0" w:beforeAutospacing="0" w:after="0" w:afterAutospacing="0" w:line="360" w:lineRule="auto"/>
        <w:ind w:firstLine="720"/>
        <w:jc w:val="both"/>
        <w:rPr>
          <w:sz w:val="24"/>
          <w:szCs w:val="24"/>
        </w:rPr>
      </w:pPr>
      <w:proofErr w:type="gramStart"/>
      <w:r w:rsidRPr="005E687E">
        <w:rPr>
          <w:sz w:val="24"/>
          <w:szCs w:val="24"/>
        </w:rPr>
        <w:t xml:space="preserve">The contextual element set out in the Elements of Crimes was invoked by Pre-Trial Chamber I in its decision on the </w:t>
      </w:r>
      <w:r w:rsidRPr="005E687E">
        <w:rPr>
          <w:rStyle w:val="x-italic"/>
          <w:iCs/>
          <w:sz w:val="24"/>
          <w:szCs w:val="24"/>
        </w:rPr>
        <w:t xml:space="preserve">Bashir </w:t>
      </w:r>
      <w:r w:rsidRPr="005E687E">
        <w:rPr>
          <w:sz w:val="24"/>
          <w:szCs w:val="24"/>
        </w:rPr>
        <w:t>arrest warrant</w:t>
      </w:r>
      <w:proofErr w:type="gramEnd"/>
      <w:r w:rsidRPr="005E687E">
        <w:rPr>
          <w:sz w:val="24"/>
          <w:szCs w:val="24"/>
        </w:rPr>
        <w:t xml:space="preserve">. The Chamber </w:t>
      </w:r>
      <w:proofErr w:type="spellStart"/>
      <w:r w:rsidR="00BA1F29">
        <w:rPr>
          <w:sz w:val="24"/>
          <w:szCs w:val="24"/>
        </w:rPr>
        <w:t>recognised</w:t>
      </w:r>
      <w:proofErr w:type="spellEnd"/>
      <w:r w:rsidR="00A178A0" w:rsidRPr="005E687E">
        <w:rPr>
          <w:sz w:val="24"/>
          <w:szCs w:val="24"/>
        </w:rPr>
        <w:t xml:space="preserve"> </w:t>
      </w:r>
      <w:r w:rsidRPr="005E687E">
        <w:rPr>
          <w:sz w:val="24"/>
          <w:szCs w:val="24"/>
        </w:rPr>
        <w:t>that the definition in the Genocide Convention itself ‘does not expressly require any contextual element’.</w:t>
      </w:r>
      <w:r w:rsidRPr="005E687E">
        <w:rPr>
          <w:rStyle w:val="FootnoteReference"/>
          <w:sz w:val="24"/>
          <w:szCs w:val="24"/>
        </w:rPr>
        <w:footnoteReference w:id="47"/>
      </w:r>
      <w:r w:rsidRPr="005E687E">
        <w:rPr>
          <w:sz w:val="24"/>
          <w:szCs w:val="24"/>
        </w:rPr>
        <w:t xml:space="preserve"> It then considered the case law of the </w:t>
      </w:r>
      <w:r w:rsidRPr="005E687E">
        <w:rPr>
          <w:rStyle w:val="x-italic"/>
          <w:iCs/>
          <w:sz w:val="24"/>
          <w:szCs w:val="24"/>
        </w:rPr>
        <w:t xml:space="preserve">ad hoc </w:t>
      </w:r>
      <w:r w:rsidRPr="005E687E">
        <w:rPr>
          <w:sz w:val="24"/>
          <w:szCs w:val="24"/>
        </w:rPr>
        <w:t>tribunals, which have not insisted upon a plan or policy as an element of the crime of genocide.</w:t>
      </w:r>
      <w:r w:rsidRPr="005E687E">
        <w:rPr>
          <w:rStyle w:val="FootnoteReference"/>
          <w:sz w:val="24"/>
          <w:szCs w:val="24"/>
        </w:rPr>
        <w:footnoteReference w:id="48"/>
      </w:r>
      <w:r w:rsidRPr="005E687E">
        <w:rPr>
          <w:sz w:val="24"/>
          <w:szCs w:val="24"/>
        </w:rPr>
        <w:t xml:space="preserve"> It must be said that all of the judgments of the </w:t>
      </w:r>
      <w:r w:rsidRPr="005E687E">
        <w:rPr>
          <w:i/>
          <w:sz w:val="24"/>
          <w:szCs w:val="24"/>
        </w:rPr>
        <w:t xml:space="preserve">ad hoc </w:t>
      </w:r>
      <w:r w:rsidRPr="005E687E">
        <w:rPr>
          <w:sz w:val="24"/>
          <w:szCs w:val="24"/>
        </w:rPr>
        <w:t xml:space="preserve">tribunals </w:t>
      </w:r>
      <w:r w:rsidR="00BA1F29">
        <w:rPr>
          <w:sz w:val="24"/>
          <w:szCs w:val="24"/>
        </w:rPr>
        <w:t>are rather hypothetical</w:t>
      </w:r>
      <w:r w:rsidRPr="005E687E">
        <w:rPr>
          <w:sz w:val="24"/>
          <w:szCs w:val="24"/>
        </w:rPr>
        <w:t xml:space="preserve"> when it comes to this question. To use the common law expression, they represent </w:t>
      </w:r>
      <w:r w:rsidRPr="005E687E">
        <w:rPr>
          <w:i/>
          <w:sz w:val="24"/>
          <w:szCs w:val="24"/>
        </w:rPr>
        <w:t xml:space="preserve">obiter dicta. </w:t>
      </w:r>
      <w:r w:rsidRPr="005E687E">
        <w:rPr>
          <w:sz w:val="24"/>
          <w:szCs w:val="24"/>
        </w:rPr>
        <w:t>At the Rwanda Tribunal, there has never really been any doubt that the killings of several hundred thousand Tutsi in 1994 were the product of a plan or policy. The judgments of the Yugoslavia Tribunal are even more abstract given the fact that the only convictions for genocide concern the Srebrenica massacre, where the existence of a plan or policy is not seriously questioned</w:t>
      </w:r>
      <w:r w:rsidR="00A178A0" w:rsidRPr="005E687E">
        <w:rPr>
          <w:sz w:val="24"/>
          <w:szCs w:val="24"/>
        </w:rPr>
        <w:t xml:space="preserve"> and it is not suggested that this was the act of a single individual</w:t>
      </w:r>
      <w:r w:rsidRPr="005E687E">
        <w:rPr>
          <w:sz w:val="24"/>
          <w:szCs w:val="24"/>
        </w:rPr>
        <w:t>.</w:t>
      </w:r>
    </w:p>
    <w:p w14:paraId="5F9A5F14" w14:textId="67F94283" w:rsidR="005E687E" w:rsidRDefault="00013B42" w:rsidP="005E687E">
      <w:pPr>
        <w:pStyle w:val="xmsonormal"/>
        <w:spacing w:before="0" w:beforeAutospacing="0" w:after="0" w:afterAutospacing="0" w:line="360" w:lineRule="auto"/>
        <w:ind w:firstLine="720"/>
        <w:jc w:val="both"/>
        <w:rPr>
          <w:sz w:val="24"/>
          <w:szCs w:val="24"/>
        </w:rPr>
      </w:pPr>
      <w:r w:rsidRPr="005E687E">
        <w:rPr>
          <w:sz w:val="24"/>
          <w:szCs w:val="24"/>
        </w:rPr>
        <w:t xml:space="preserve">In </w:t>
      </w:r>
      <w:r w:rsidR="00A178A0" w:rsidRPr="005E687E">
        <w:rPr>
          <w:sz w:val="24"/>
          <w:szCs w:val="24"/>
        </w:rPr>
        <w:t xml:space="preserve">the </w:t>
      </w:r>
      <w:proofErr w:type="spellStart"/>
      <w:r w:rsidRPr="005E687E">
        <w:rPr>
          <w:rStyle w:val="x-italic"/>
          <w:iCs/>
          <w:sz w:val="24"/>
          <w:szCs w:val="24"/>
        </w:rPr>
        <w:t>Jelisić</w:t>
      </w:r>
      <w:proofErr w:type="spellEnd"/>
      <w:r w:rsidR="00A178A0" w:rsidRPr="005E687E">
        <w:rPr>
          <w:rStyle w:val="x-italic"/>
          <w:iCs/>
          <w:sz w:val="24"/>
          <w:szCs w:val="24"/>
        </w:rPr>
        <w:t xml:space="preserve"> case</w:t>
      </w:r>
      <w:r w:rsidRPr="005E687E">
        <w:rPr>
          <w:sz w:val="24"/>
          <w:szCs w:val="24"/>
        </w:rPr>
        <w:t xml:space="preserve">, </w:t>
      </w:r>
      <w:r w:rsidR="005E687E" w:rsidRPr="005E687E">
        <w:rPr>
          <w:sz w:val="24"/>
          <w:szCs w:val="24"/>
        </w:rPr>
        <w:t>a</w:t>
      </w:r>
      <w:r w:rsidRPr="005E687E">
        <w:rPr>
          <w:sz w:val="24"/>
          <w:szCs w:val="24"/>
        </w:rPr>
        <w:t xml:space="preserve"> Trial Chamber </w:t>
      </w:r>
      <w:r w:rsidR="005E687E" w:rsidRPr="005E687E">
        <w:rPr>
          <w:sz w:val="24"/>
          <w:szCs w:val="24"/>
        </w:rPr>
        <w:t xml:space="preserve">of the International Criminal Tribunal for the former Yugoslavia </w:t>
      </w:r>
      <w:r w:rsidRPr="005E687E">
        <w:rPr>
          <w:sz w:val="24"/>
          <w:szCs w:val="24"/>
        </w:rPr>
        <w:t xml:space="preserve">dismissed a charge of aiding and </w:t>
      </w:r>
      <w:proofErr w:type="gramStart"/>
      <w:r w:rsidRPr="005E687E">
        <w:rPr>
          <w:sz w:val="24"/>
          <w:szCs w:val="24"/>
        </w:rPr>
        <w:t>abetting genocide because of insufficient evidence the crime was being perpetrated by persons other than the accused</w:t>
      </w:r>
      <w:proofErr w:type="gramEnd"/>
      <w:r w:rsidRPr="005E687E">
        <w:rPr>
          <w:sz w:val="24"/>
          <w:szCs w:val="24"/>
        </w:rPr>
        <w:t>. It then went on to rule that a conviction for genocide was in any event ‘theoretically possible’ because an individual, acting alone, could perpetrate the crime.</w:t>
      </w:r>
      <w:r w:rsidRPr="005E687E">
        <w:rPr>
          <w:rStyle w:val="FootnoteReference"/>
          <w:sz w:val="24"/>
          <w:szCs w:val="24"/>
        </w:rPr>
        <w:footnoteReference w:id="49"/>
      </w:r>
      <w:r w:rsidRPr="005E687E">
        <w:rPr>
          <w:sz w:val="24"/>
          <w:szCs w:val="24"/>
        </w:rPr>
        <w:t xml:space="preserve"> The Trial Chamber concluded that </w:t>
      </w:r>
      <w:proofErr w:type="spellStart"/>
      <w:r w:rsidRPr="005E687E">
        <w:rPr>
          <w:rStyle w:val="x-italic"/>
          <w:i w:val="0"/>
          <w:iCs/>
          <w:sz w:val="24"/>
          <w:szCs w:val="24"/>
        </w:rPr>
        <w:t>Jelisić</w:t>
      </w:r>
      <w:proofErr w:type="spellEnd"/>
      <w:r w:rsidRPr="005E687E">
        <w:rPr>
          <w:i/>
          <w:sz w:val="24"/>
          <w:szCs w:val="24"/>
        </w:rPr>
        <w:t xml:space="preserve"> </w:t>
      </w:r>
      <w:r w:rsidRPr="005E687E">
        <w:rPr>
          <w:sz w:val="24"/>
          <w:szCs w:val="24"/>
        </w:rPr>
        <w:t xml:space="preserve">was such a mentally unstable </w:t>
      </w:r>
      <w:r w:rsidRPr="005E687E">
        <w:rPr>
          <w:sz w:val="24"/>
          <w:szCs w:val="24"/>
        </w:rPr>
        <w:lastRenderedPageBreak/>
        <w:t>individual that he was not capable of forming a genocidal intent and he was acquitted</w:t>
      </w:r>
      <w:r w:rsidR="00A178A0" w:rsidRPr="005E687E">
        <w:rPr>
          <w:sz w:val="24"/>
          <w:szCs w:val="24"/>
        </w:rPr>
        <w:t xml:space="preserve"> of the charge</w:t>
      </w:r>
      <w:r w:rsidRPr="005E687E">
        <w:rPr>
          <w:sz w:val="24"/>
          <w:szCs w:val="24"/>
        </w:rPr>
        <w:t xml:space="preserve">. But the conclusion in </w:t>
      </w:r>
      <w:proofErr w:type="spellStart"/>
      <w:r w:rsidRPr="005E687E">
        <w:rPr>
          <w:rStyle w:val="x-italic"/>
          <w:iCs/>
          <w:sz w:val="24"/>
          <w:szCs w:val="24"/>
        </w:rPr>
        <w:t>Jelisić</w:t>
      </w:r>
      <w:proofErr w:type="spellEnd"/>
      <w:r w:rsidRPr="005E687E">
        <w:rPr>
          <w:rStyle w:val="x-italic"/>
          <w:iCs/>
          <w:sz w:val="24"/>
          <w:szCs w:val="24"/>
        </w:rPr>
        <w:t xml:space="preserve"> </w:t>
      </w:r>
      <w:r w:rsidRPr="005E687E">
        <w:rPr>
          <w:sz w:val="24"/>
          <w:szCs w:val="24"/>
        </w:rPr>
        <w:t xml:space="preserve">that genocide could be </w:t>
      </w:r>
      <w:proofErr w:type="spellStart"/>
      <w:r w:rsidR="00694A68">
        <w:rPr>
          <w:sz w:val="24"/>
          <w:szCs w:val="24"/>
        </w:rPr>
        <w:t>commit</w:t>
      </w:r>
      <w:r w:rsidRPr="005E687E">
        <w:rPr>
          <w:sz w:val="24"/>
          <w:szCs w:val="24"/>
        </w:rPr>
        <w:t>ed</w:t>
      </w:r>
      <w:proofErr w:type="spellEnd"/>
      <w:r w:rsidRPr="005E687E">
        <w:rPr>
          <w:sz w:val="24"/>
          <w:szCs w:val="24"/>
        </w:rPr>
        <w:t xml:space="preserve"> by an individual perpetrator, acting alone, and in the absence of a broader plan or policy, remains the law of the Yugoslavia Tribunal.</w:t>
      </w:r>
    </w:p>
    <w:p w14:paraId="33390D56" w14:textId="403E59A2" w:rsidR="00013B42" w:rsidRPr="005E687E" w:rsidRDefault="00013B42" w:rsidP="005E687E">
      <w:pPr>
        <w:pStyle w:val="xmsonormal"/>
        <w:spacing w:before="0" w:beforeAutospacing="0" w:after="0" w:afterAutospacing="0" w:line="360" w:lineRule="auto"/>
        <w:ind w:firstLine="720"/>
        <w:jc w:val="both"/>
        <w:rPr>
          <w:rFonts w:ascii="Times New Roman" w:hAnsi="Times New Roman"/>
          <w:sz w:val="24"/>
          <w:szCs w:val="24"/>
          <w:lang w:val="en-GB"/>
        </w:rPr>
      </w:pPr>
      <w:r w:rsidRPr="005E687E">
        <w:rPr>
          <w:sz w:val="24"/>
          <w:szCs w:val="24"/>
        </w:rPr>
        <w:t xml:space="preserve">In </w:t>
      </w:r>
      <w:r w:rsidRPr="005E687E">
        <w:rPr>
          <w:rStyle w:val="x-italic"/>
          <w:iCs/>
          <w:sz w:val="24"/>
          <w:szCs w:val="24"/>
        </w:rPr>
        <w:t>Bashi</w:t>
      </w:r>
      <w:r w:rsidRPr="005E687E">
        <w:rPr>
          <w:rStyle w:val="char-style-override-1"/>
          <w:i/>
          <w:sz w:val="24"/>
          <w:szCs w:val="24"/>
        </w:rPr>
        <w:t>r</w:t>
      </w:r>
      <w:r w:rsidRPr="005E687E">
        <w:rPr>
          <w:rStyle w:val="char-style-override-1"/>
          <w:sz w:val="24"/>
          <w:szCs w:val="24"/>
        </w:rPr>
        <w:t>,</w:t>
      </w:r>
      <w:r w:rsidRPr="005E687E">
        <w:rPr>
          <w:sz w:val="24"/>
          <w:szCs w:val="24"/>
        </w:rPr>
        <w:t xml:space="preserve"> Pre-Trial Chamber I compared the Elements of Crimes and the case law of the </w:t>
      </w:r>
      <w:r w:rsidRPr="005E687E">
        <w:rPr>
          <w:rStyle w:val="x-italic"/>
          <w:iCs/>
          <w:sz w:val="24"/>
          <w:szCs w:val="24"/>
        </w:rPr>
        <w:t xml:space="preserve">ad hoc </w:t>
      </w:r>
      <w:r w:rsidRPr="005E687E">
        <w:rPr>
          <w:sz w:val="24"/>
          <w:szCs w:val="24"/>
        </w:rPr>
        <w:t>tribunals, observing that:</w:t>
      </w:r>
    </w:p>
    <w:p w14:paraId="2EC16F30" w14:textId="77777777" w:rsidR="00013B42" w:rsidRPr="005E687E" w:rsidRDefault="00013B42" w:rsidP="00C848F4">
      <w:pPr>
        <w:pStyle w:val="ext3"/>
        <w:spacing w:line="360" w:lineRule="auto"/>
        <w:rPr>
          <w:sz w:val="24"/>
          <w:szCs w:val="24"/>
        </w:rPr>
      </w:pPr>
    </w:p>
    <w:p w14:paraId="4DD36133" w14:textId="77777777" w:rsidR="00013B42" w:rsidRPr="00BC454B" w:rsidRDefault="00013B42" w:rsidP="00C848F4">
      <w:pPr>
        <w:pStyle w:val="ext3"/>
      </w:pPr>
      <w:proofErr w:type="gramStart"/>
      <w:r w:rsidRPr="00BC454B">
        <w:t>the</w:t>
      </w:r>
      <w:proofErr w:type="gramEnd"/>
      <w:r w:rsidRPr="00BC454B">
        <w:t xml:space="preserve"> crime of genocide is completed by, inter alia, killing or causing serious bodily harm to a single individual with the intent to destroy in whole or in part the group to which such individual belongs. As a result, according to this case law, for the purpose of completing the crime of genocide, it is irrelevant whether the conduct in question is capable of posing any concrete threat to the existence of the targeted group, or a part thereof.</w:t>
      </w:r>
      <w:r w:rsidRPr="00BC454B">
        <w:rPr>
          <w:rStyle w:val="FootnoteReference"/>
        </w:rPr>
        <w:footnoteReference w:id="50"/>
      </w:r>
    </w:p>
    <w:p w14:paraId="4144B66C" w14:textId="77777777" w:rsidR="00013B42" w:rsidRPr="00B71673" w:rsidRDefault="00013B42" w:rsidP="00C848F4">
      <w:pPr>
        <w:pStyle w:val="ext3"/>
        <w:spacing w:line="360" w:lineRule="auto"/>
      </w:pPr>
    </w:p>
    <w:p w14:paraId="58DC26AE" w14:textId="77777777" w:rsidR="005E687E" w:rsidRDefault="00013B42" w:rsidP="00225931">
      <w:pPr>
        <w:pStyle w:val="p"/>
        <w:ind w:firstLine="0"/>
      </w:pPr>
      <w:r w:rsidRPr="005E687E">
        <w:t>Pre-Trial Chamber I said that following this interpretative approach, the crime of genocide depends upon proof that the accused had the intent to destroy the protected group, and that ‘[</w:t>
      </w:r>
      <w:proofErr w:type="gramStart"/>
      <w:r w:rsidRPr="005E687E">
        <w:t>a]s</w:t>
      </w:r>
      <w:proofErr w:type="gramEnd"/>
      <w:r w:rsidRPr="005E687E">
        <w:t xml:space="preserve"> soon as this intent exists and materializes in an isolated act of a single individual, the protection is triggered, regardless of whether the latent threat to the existence of the targeted group posed by the said intent has turned into a concrete threat to the existence in whole or in part of that group’.</w:t>
      </w:r>
      <w:r w:rsidRPr="005E687E">
        <w:rPr>
          <w:rStyle w:val="FootnoteReference"/>
        </w:rPr>
        <w:footnoteReference w:id="51"/>
      </w:r>
    </w:p>
    <w:p w14:paraId="061AC2E6" w14:textId="10C4C970" w:rsidR="00013B42" w:rsidRPr="00534D9C" w:rsidRDefault="00013B42" w:rsidP="00B2312E">
      <w:pPr>
        <w:pStyle w:val="p"/>
      </w:pPr>
      <w:r w:rsidRPr="00534D9C">
        <w:t xml:space="preserve">Noting ‘a certain controversy’ as to whether the contextual element </w:t>
      </w:r>
      <w:r>
        <w:t xml:space="preserve">in the Elements of Crimes </w:t>
      </w:r>
      <w:r w:rsidRPr="00534D9C">
        <w:t xml:space="preserve">should be </w:t>
      </w:r>
      <w:r>
        <w:t>appli</w:t>
      </w:r>
      <w:r w:rsidRPr="00534D9C">
        <w:t>ed,</w:t>
      </w:r>
      <w:r w:rsidRPr="00B71673">
        <w:rPr>
          <w:rStyle w:val="FootnoteReference"/>
        </w:rPr>
        <w:footnoteReference w:id="52"/>
      </w:r>
      <w:r w:rsidRPr="00534D9C">
        <w:t xml:space="preserve"> Pre-Trial Chamber I quite clearly distanced itself from the case law of the </w:t>
      </w:r>
      <w:r w:rsidRPr="00534D9C">
        <w:rPr>
          <w:rStyle w:val="x-italic"/>
          <w:iCs/>
        </w:rPr>
        <w:t xml:space="preserve">ad hoc </w:t>
      </w:r>
      <w:r w:rsidRPr="00534D9C">
        <w:t>tribunals. It highlighted the importance of the contextual element set out expressly in the Elements of Crimes.</w:t>
      </w:r>
    </w:p>
    <w:p w14:paraId="4BB3A70E" w14:textId="77777777" w:rsidR="00013B42" w:rsidRPr="00B71673" w:rsidRDefault="00013B42" w:rsidP="00C848F4">
      <w:pPr>
        <w:pStyle w:val="p1"/>
        <w:spacing w:line="360" w:lineRule="auto"/>
        <w:ind w:firstLine="0"/>
        <w:rPr>
          <w:szCs w:val="24"/>
        </w:rPr>
      </w:pPr>
    </w:p>
    <w:p w14:paraId="461C9216" w14:textId="77777777" w:rsidR="00013B42" w:rsidRPr="00B71673" w:rsidRDefault="00013B42" w:rsidP="00C848F4">
      <w:pPr>
        <w:pStyle w:val="ext3"/>
      </w:pPr>
      <w:r w:rsidRPr="00B71673">
        <w:t xml:space="preserve">In the view of the Majority, according to this contextual element, the crime of genocide is only completed when the relevant conduct presents a concrete threat to the existence of the targeted group, or a part thereof. In other words, the protection offered by the penal norm defining the crime of genocide – as an </w:t>
      </w:r>
      <w:proofErr w:type="spellStart"/>
      <w:r w:rsidRPr="00B71673">
        <w:rPr>
          <w:rStyle w:val="x-italic"/>
          <w:iCs/>
          <w:szCs w:val="24"/>
        </w:rPr>
        <w:t>ultima</w:t>
      </w:r>
      <w:proofErr w:type="spellEnd"/>
      <w:r w:rsidRPr="00B71673">
        <w:rPr>
          <w:rStyle w:val="x-italic"/>
          <w:iCs/>
          <w:szCs w:val="24"/>
        </w:rPr>
        <w:t xml:space="preserve"> ratio</w:t>
      </w:r>
      <w:r w:rsidRPr="00B71673">
        <w:t xml:space="preserve"> mechanism to preserve the highest values of the international community – is only triggered when the threat against the existence of the targeted group, or part thereof, becomes concrete and real, as opposed to just being latent or hypothetical.</w:t>
      </w:r>
      <w:r w:rsidRPr="00B71673">
        <w:rPr>
          <w:rStyle w:val="FootnoteReference"/>
          <w:szCs w:val="24"/>
        </w:rPr>
        <w:footnoteReference w:id="53"/>
      </w:r>
    </w:p>
    <w:p w14:paraId="511D3334" w14:textId="77777777" w:rsidR="00013B42" w:rsidRDefault="00013B42" w:rsidP="00225931">
      <w:pPr>
        <w:pStyle w:val="p"/>
        <w:ind w:firstLine="0"/>
      </w:pPr>
    </w:p>
    <w:p w14:paraId="68422A3B" w14:textId="561D0678" w:rsidR="00013B42" w:rsidRDefault="00013B42" w:rsidP="00225931">
      <w:pPr>
        <w:pStyle w:val="p"/>
        <w:ind w:firstLine="0"/>
      </w:pPr>
      <w:r w:rsidRPr="00B71673">
        <w:t xml:space="preserve">Dissenting, Judge </w:t>
      </w:r>
      <w:proofErr w:type="spellStart"/>
      <w:r w:rsidRPr="00B71673">
        <w:t>Ušacka</w:t>
      </w:r>
      <w:proofErr w:type="spellEnd"/>
      <w:r w:rsidRPr="00B71673">
        <w:t xml:space="preserve"> insisted that the</w:t>
      </w:r>
      <w:r>
        <w:t xml:space="preserve"> role of the Elements of Crimes was</w:t>
      </w:r>
      <w:r w:rsidRPr="00B71673">
        <w:t xml:space="preserve"> only to ‘assist’ the Court, and</w:t>
      </w:r>
      <w:r>
        <w:t xml:space="preserve"> hinted at the view that in the </w:t>
      </w:r>
      <w:r w:rsidRPr="00534D9C">
        <w:rPr>
          <w:i/>
        </w:rPr>
        <w:t>Bashir</w:t>
      </w:r>
      <w:r>
        <w:t xml:space="preserve"> case they we</w:t>
      </w:r>
      <w:r w:rsidRPr="00B71673">
        <w:t xml:space="preserve">re inconsistent </w:t>
      </w:r>
      <w:r w:rsidRPr="00B71673">
        <w:lastRenderedPageBreak/>
        <w:t>with article 6</w:t>
      </w:r>
      <w:r w:rsidR="00A178A0">
        <w:t xml:space="preserve"> of the Statute,</w:t>
      </w:r>
      <w:r w:rsidRPr="00B71673">
        <w:t xml:space="preserve"> a point she said did not need to be determined in the case</w:t>
      </w:r>
      <w:r>
        <w:t xml:space="preserve"> at bar</w:t>
      </w:r>
      <w:r w:rsidRPr="00B71673">
        <w:t>.</w:t>
      </w:r>
      <w:r w:rsidRPr="00B71673">
        <w:rPr>
          <w:rStyle w:val="FootnoteReference"/>
        </w:rPr>
        <w:footnoteReference w:id="54"/>
      </w:r>
    </w:p>
    <w:p w14:paraId="4D5AF931" w14:textId="30CB556A" w:rsidR="00013B42" w:rsidRPr="00534D9C" w:rsidRDefault="00013B42" w:rsidP="00B2312E">
      <w:pPr>
        <w:pStyle w:val="p"/>
      </w:pPr>
      <w:r w:rsidRPr="00534D9C">
        <w:t xml:space="preserve">The Pre-Trial Chamber might well have justified the difference in its approach and that of the </w:t>
      </w:r>
      <w:r w:rsidRPr="00534D9C">
        <w:rPr>
          <w:rStyle w:val="x-italic"/>
          <w:iCs/>
        </w:rPr>
        <w:t xml:space="preserve">ad hoc </w:t>
      </w:r>
      <w:r w:rsidRPr="00534D9C">
        <w:t xml:space="preserve">tribunals by relying exclusively on the requirements imposed by the Elements of Crimes, </w:t>
      </w:r>
      <w:r>
        <w:t>thereby avoiding any implication of disapproval of</w:t>
      </w:r>
      <w:r w:rsidRPr="00534D9C">
        <w:t xml:space="preserve"> the interpretation</w:t>
      </w:r>
      <w:r>
        <w:t xml:space="preserve"> of the </w:t>
      </w:r>
      <w:r w:rsidR="00BA1F29">
        <w:t>Yugoslavia Tribunal</w:t>
      </w:r>
      <w:r w:rsidRPr="00534D9C">
        <w:t xml:space="preserve"> in </w:t>
      </w:r>
      <w:proofErr w:type="spellStart"/>
      <w:r w:rsidRPr="00534D9C">
        <w:rPr>
          <w:rStyle w:val="x-italic"/>
          <w:iCs/>
        </w:rPr>
        <w:t>Jelisić</w:t>
      </w:r>
      <w:proofErr w:type="spellEnd"/>
      <w:r w:rsidRPr="00534D9C">
        <w:t xml:space="preserve">. However, it went on to state that it did not see any ‘irreconcilable contradiction’ between the </w:t>
      </w:r>
      <w:proofErr w:type="gramStart"/>
      <w:r w:rsidRPr="00534D9C">
        <w:t>definition</w:t>
      </w:r>
      <w:proofErr w:type="gramEnd"/>
      <w:r w:rsidRPr="00534D9C">
        <w:t xml:space="preserve"> of genocide in article 6 of the </w:t>
      </w:r>
      <w:r w:rsidRPr="00435272">
        <w:rPr>
          <w:rStyle w:val="x-italic"/>
          <w:i w:val="0"/>
          <w:iCs/>
        </w:rPr>
        <w:t xml:space="preserve">Rome Statute </w:t>
      </w:r>
      <w:r w:rsidRPr="00435272">
        <w:t xml:space="preserve">and </w:t>
      </w:r>
      <w:r w:rsidRPr="00534D9C">
        <w:t>the criterion of a contextual element set out in the Elements.</w:t>
      </w:r>
      <w:r w:rsidRPr="00B71673">
        <w:rPr>
          <w:rStyle w:val="FootnoteReference"/>
        </w:rPr>
        <w:footnoteReference w:id="55"/>
      </w:r>
    </w:p>
    <w:p w14:paraId="3616ABE3" w14:textId="77777777" w:rsidR="00013B42" w:rsidRDefault="00013B42" w:rsidP="005E687E">
      <w:pPr>
        <w:pStyle w:val="ext3"/>
        <w:spacing w:line="360" w:lineRule="auto"/>
      </w:pPr>
    </w:p>
    <w:p w14:paraId="1ECCEA33" w14:textId="77777777" w:rsidR="00013B42" w:rsidRPr="00B71673" w:rsidRDefault="00013B42" w:rsidP="00C848F4">
      <w:pPr>
        <w:pStyle w:val="ext3"/>
      </w:pPr>
      <w:r w:rsidRPr="00B71673">
        <w:t>Quite the contrary, the Majority considers that the definition of the crime of genocide, so as to require for its completion an actual threat to the targeted group, or a part thereof, is (</w:t>
      </w:r>
      <w:proofErr w:type="spellStart"/>
      <w:r w:rsidRPr="00B71673">
        <w:t>i</w:t>
      </w:r>
      <w:proofErr w:type="spellEnd"/>
      <w:r w:rsidRPr="00B71673">
        <w:t>) not per se contrary to article 6 of the Statute; (ii) fully respects the requirements of article 22(2) of the Statute that the definition of the crimes ‘shall be strictly construed and shall not be extended by analogy’ and ‘[</w:t>
      </w:r>
      <w:proofErr w:type="spellStart"/>
      <w:proofErr w:type="gramStart"/>
      <w:r w:rsidRPr="00B71673">
        <w:t>i</w:t>
      </w:r>
      <w:proofErr w:type="spellEnd"/>
      <w:r w:rsidRPr="00B71673">
        <w:t>]n</w:t>
      </w:r>
      <w:proofErr w:type="gramEnd"/>
      <w:r w:rsidRPr="00B71673">
        <w:t xml:space="preserve"> case of ambiguity, the definition shall be interpreted in </w:t>
      </w:r>
      <w:proofErr w:type="spellStart"/>
      <w:r w:rsidRPr="00B71673">
        <w:t>favour</w:t>
      </w:r>
      <w:proofErr w:type="spellEnd"/>
      <w:r w:rsidRPr="00B71673">
        <w:t xml:space="preserve"> of the person being investigated, prosecuted or convicted’; and (iii) is fully consistent with the traditional consideration of the crime of genocide as the ‘crime of the crimes’.</w:t>
      </w:r>
      <w:r w:rsidRPr="00B71673">
        <w:rPr>
          <w:rStyle w:val="FootnoteReference"/>
          <w:szCs w:val="24"/>
        </w:rPr>
        <w:footnoteReference w:id="56"/>
      </w:r>
    </w:p>
    <w:p w14:paraId="36416BFD" w14:textId="77777777" w:rsidR="00013B42" w:rsidRPr="00145C0A" w:rsidRDefault="00013B42" w:rsidP="00B2312E">
      <w:pPr>
        <w:pStyle w:val="p"/>
      </w:pPr>
    </w:p>
    <w:p w14:paraId="06D88B00" w14:textId="03989EED" w:rsidR="00013B42" w:rsidRPr="00145C0A" w:rsidRDefault="00013B42" w:rsidP="00B2312E">
      <w:pPr>
        <w:pStyle w:val="p"/>
      </w:pPr>
      <w:r w:rsidRPr="00145C0A">
        <w:t xml:space="preserve">The decision represents therefore an important </w:t>
      </w:r>
      <w:r w:rsidR="00A178A0">
        <w:t>development</w:t>
      </w:r>
      <w:r w:rsidR="00A178A0" w:rsidRPr="00145C0A">
        <w:t xml:space="preserve"> </w:t>
      </w:r>
      <w:r w:rsidRPr="00145C0A">
        <w:t xml:space="preserve">in the jurisprudence of the </w:t>
      </w:r>
      <w:r w:rsidR="005E687E">
        <w:t>International Criminal Court</w:t>
      </w:r>
      <w:r w:rsidR="00A178A0">
        <w:t>. It departs</w:t>
      </w:r>
      <w:r w:rsidRPr="00145C0A">
        <w:t xml:space="preserve"> from established case law of the </w:t>
      </w:r>
      <w:r w:rsidRPr="00145C0A">
        <w:rPr>
          <w:rStyle w:val="x-italic"/>
          <w:iCs/>
        </w:rPr>
        <w:t xml:space="preserve">ad hoc </w:t>
      </w:r>
      <w:r w:rsidRPr="00145C0A">
        <w:t xml:space="preserve">tribunals on a significant substantive legal issue. The debate is about whether the contextual element contained in the </w:t>
      </w:r>
      <w:r>
        <w:t>Elements of Crimes represents a</w:t>
      </w:r>
      <w:r w:rsidRPr="00145C0A">
        <w:t xml:space="preserve"> clarification of the scope of the definition of genocide taken from article 2 of the Convention or whether it is a limitation or restriction imposed by States in the </w:t>
      </w:r>
      <w:r>
        <w:t xml:space="preserve">particular </w:t>
      </w:r>
      <w:r w:rsidRPr="00145C0A">
        <w:t xml:space="preserve">context of the adoption of a supplementary instrument to the Rome Statute. Those who see it as a narrowing of the Convention definition argue that the Elements of Crimes are ‘jurisdictional’ in nature. Their </w:t>
      </w:r>
      <w:r>
        <w:t>contention</w:t>
      </w:r>
      <w:r w:rsidRPr="00145C0A">
        <w:t xml:space="preserve">, which is often driven by a visceral resistance to anything that appears to narrow or limit definitions of crimes at the international level, is essentially </w:t>
      </w:r>
      <w:r>
        <w:t>based upon a literal reading of the text of the Convention</w:t>
      </w:r>
      <w:r w:rsidRPr="00145C0A">
        <w:t>. The</w:t>
      </w:r>
      <w:r>
        <w:t>y</w:t>
      </w:r>
      <w:r w:rsidRPr="00145C0A">
        <w:t xml:space="preserve"> </w:t>
      </w:r>
      <w:r>
        <w:t>assert</w:t>
      </w:r>
      <w:r w:rsidRPr="00145C0A">
        <w:t xml:space="preserve"> that because the contextual element is not set out explicitly in the definition of the crime taken from article 2 of the Genocide Convention, that it therefore represents a change or alteration.</w:t>
      </w:r>
    </w:p>
    <w:p w14:paraId="03007C76" w14:textId="77777777" w:rsidR="00BA1F29" w:rsidRDefault="00013B42" w:rsidP="00B2312E">
      <w:pPr>
        <w:pStyle w:val="p"/>
      </w:pPr>
      <w:r w:rsidRPr="00145C0A">
        <w:t xml:space="preserve">The </w:t>
      </w:r>
    </w:p>
    <w:p w14:paraId="4F2B6312" w14:textId="4947D8BF" w:rsidR="005E687E" w:rsidRDefault="00BA1F29" w:rsidP="00B2312E">
      <w:pPr>
        <w:pStyle w:val="p"/>
      </w:pPr>
      <w:r>
        <w:lastRenderedPageBreak/>
        <w:t xml:space="preserve">The position that the </w:t>
      </w:r>
      <w:r w:rsidR="00013B42" w:rsidRPr="00145C0A">
        <w:t xml:space="preserve">Elements of Crimes merely clarify the content of article 2 of the Convention </w:t>
      </w:r>
      <w:r>
        <w:t xml:space="preserve">finds support in general rules of treaty law. The Elements </w:t>
      </w:r>
      <w:r w:rsidR="00013B42" w:rsidRPr="00145C0A">
        <w:t xml:space="preserve">may </w:t>
      </w:r>
      <w:r>
        <w:t>be considered</w:t>
      </w:r>
      <w:r w:rsidR="00013B42">
        <w:t xml:space="preserve"> as</w:t>
      </w:r>
      <w:r w:rsidR="00013B42" w:rsidRPr="00145C0A">
        <w:t xml:space="preserve"> ‘subsequent agreement between the parties regarding the interpretation of the treaty or the application of its provisions’ or ‘subsequent practice in the application of the treaty which establishes the agreement of the parties regarding its interpretation’, well-known concepts set out in article 31(3) of the Vienna Convention on</w:t>
      </w:r>
      <w:r w:rsidR="00013B42">
        <w:t xml:space="preserve"> the Law of Treaties. There can</w:t>
      </w:r>
      <w:r w:rsidR="00013B42" w:rsidRPr="00145C0A">
        <w:t>not be much doubt that the drafters of the Rome Statute, at the 1998 diplomatic conference and before, treated article 2 of the 1948 Convention as somewhat of a sacred text that was not to be modified at all. It is striking that article 6 of the Rome Statute faithfully respects the text of article 2 of the 1948 Convention, whereas the definitions of the other categories of crime that were adopted at the Rome Conference vary significantly from earlier models. In effect, they dramatically develop the codifications of both crimes against humanity and war crimes. However, when the Rome Conference turned to the</w:t>
      </w:r>
      <w:r>
        <w:t xml:space="preserve"> crime of genocide, there was </w:t>
      </w:r>
      <w:r w:rsidR="00013B42" w:rsidRPr="00145C0A">
        <w:t>resistance to any change whatsoever in the 1948 text. There was only one hint that it might be changed, a casual proposal by Cuba for inclusion of political and social groups that was never even submitted as a formal amendment.</w:t>
      </w:r>
      <w:r w:rsidR="00013B42" w:rsidRPr="00145C0A">
        <w:rPr>
          <w:rStyle w:val="FootnoteReference"/>
        </w:rPr>
        <w:footnoteReference w:id="57"/>
      </w:r>
      <w:r w:rsidR="00013B42" w:rsidRPr="00145C0A">
        <w:t xml:space="preserve"> Many States took the floor to insist upon fidelity to the 1948 version.</w:t>
      </w:r>
      <w:r w:rsidR="00013B42" w:rsidRPr="00145C0A">
        <w:rPr>
          <w:rStyle w:val="FootnoteReference"/>
        </w:rPr>
        <w:footnoteReference w:id="58"/>
      </w:r>
    </w:p>
    <w:p w14:paraId="4AE46C41" w14:textId="77777777" w:rsidR="005E687E" w:rsidRDefault="00013B42" w:rsidP="00B2312E">
      <w:pPr>
        <w:pStyle w:val="p"/>
      </w:pPr>
      <w:r w:rsidRPr="00145C0A">
        <w:t xml:space="preserve">It seems implausible </w:t>
      </w:r>
      <w:r w:rsidR="00A178A0">
        <w:t xml:space="preserve">therefore </w:t>
      </w:r>
      <w:r w:rsidRPr="00145C0A">
        <w:t>that in June</w:t>
      </w:r>
      <w:r w:rsidR="00A178A0">
        <w:t xml:space="preserve"> and July</w:t>
      </w:r>
      <w:r w:rsidRPr="00145C0A">
        <w:t xml:space="preserve"> 1998, at the Rome Conference, States more or less unanimously expressed their allegi</w:t>
      </w:r>
      <w:r>
        <w:t>a</w:t>
      </w:r>
      <w:r w:rsidRPr="00145C0A">
        <w:t xml:space="preserve">nce to the 1948 definition of genocide but that two years later, when the Preparatory Commission was drafting the Elements of Crimes, they intended to depart from that definition with a so-called ‘jurisdictional’ limitation on the scope of genocide. Pursuant to the Final Act of the Rome Conference, </w:t>
      </w:r>
      <w:r>
        <w:t>the Preparatory Commission had the same</w:t>
      </w:r>
      <w:r w:rsidRPr="00145C0A">
        <w:t xml:space="preserve"> composition </w:t>
      </w:r>
      <w:r>
        <w:t>as</w:t>
      </w:r>
      <w:r w:rsidRPr="00145C0A">
        <w:t xml:space="preserve"> the Rome Conference, so it cannot be argued that it was not as representative or that its membership differed. Nevertheless, the fact that the intent of the Preparatory Commission was to elucidate the scope of the 1948 definition does not necessarily lead to the conclusion that it did not, as a matter of law, effect what amounts to an amendment rather than an interpretative clarification.</w:t>
      </w:r>
    </w:p>
    <w:p w14:paraId="29819E73" w14:textId="77777777" w:rsidR="005E687E" w:rsidRDefault="00013B42" w:rsidP="00B2312E">
      <w:pPr>
        <w:pStyle w:val="p"/>
      </w:pPr>
      <w:r w:rsidRPr="00145C0A">
        <w:t xml:space="preserve">In </w:t>
      </w:r>
      <w:r>
        <w:t xml:space="preserve">the </w:t>
      </w:r>
      <w:r>
        <w:rPr>
          <w:i/>
        </w:rPr>
        <w:t xml:space="preserve">Bashir </w:t>
      </w:r>
      <w:r>
        <w:t>arrest warrant decision</w:t>
      </w:r>
      <w:r w:rsidRPr="00145C0A">
        <w:t xml:space="preserve">, the Pre-Trial Chamber </w:t>
      </w:r>
      <w:proofErr w:type="spellStart"/>
      <w:r>
        <w:t>recognis</w:t>
      </w:r>
      <w:r w:rsidRPr="00145C0A">
        <w:t>ed</w:t>
      </w:r>
      <w:proofErr w:type="spellEnd"/>
      <w:r w:rsidRPr="00145C0A">
        <w:t xml:space="preserve"> the development </w:t>
      </w:r>
      <w:r>
        <w:t>by</w:t>
      </w:r>
      <w:r w:rsidRPr="00145C0A">
        <w:t xml:space="preserve"> scholars of what has been </w:t>
      </w:r>
      <w:r>
        <w:t>identified</w:t>
      </w:r>
      <w:r w:rsidRPr="00145C0A">
        <w:t xml:space="preserve"> as a ‘knowledge-based’ </w:t>
      </w:r>
      <w:r w:rsidRPr="00145C0A">
        <w:lastRenderedPageBreak/>
        <w:t>approach to genocide.</w:t>
      </w:r>
      <w:r w:rsidRPr="00145C0A">
        <w:rPr>
          <w:rStyle w:val="FootnoteReference"/>
        </w:rPr>
        <w:footnoteReference w:id="59"/>
      </w:r>
      <w:r w:rsidRPr="00145C0A">
        <w:t xml:space="preserve"> The Pre-Trial Chamber described the approach as facilitating the criminal responsibility of ‘direct perpetrators and mid-level commanders … even if they act without the </w:t>
      </w:r>
      <w:proofErr w:type="spellStart"/>
      <w:r w:rsidRPr="00145C0A">
        <w:t>dolus</w:t>
      </w:r>
      <w:proofErr w:type="spellEnd"/>
      <w:r w:rsidRPr="00145C0A">
        <w:t xml:space="preserve"> specialis/specific intent to destroy in whole or in part the targeted group’. It said that according to the knowledge-based approach, ‘as long as those senior political and/or military leaders who planned and set into motion a genocidal campaign act with the requisite </w:t>
      </w:r>
      <w:proofErr w:type="spellStart"/>
      <w:r w:rsidRPr="00145C0A">
        <w:t>dolus</w:t>
      </w:r>
      <w:proofErr w:type="spellEnd"/>
      <w:r w:rsidRPr="00145C0A">
        <w:t xml:space="preserve"> specialis/ulterior intent, those others below them, who pass on instructions and/or physically implement such a genocidal campaign, will commit genocide as long as they are aware that the ultimate purpose of such a campaign is to destroy in whole or in part the targeted group’. The Pre-Trial Chamber insisted that the so-called ‘knowledge-based approach’ is not different from the traditional approach in relation to those senior political and military leaders who plan and set into motion a genocidal campaign, </w:t>
      </w:r>
      <w:proofErr w:type="gramStart"/>
      <w:r w:rsidRPr="00145C0A">
        <w:t>who</w:t>
      </w:r>
      <w:proofErr w:type="gramEnd"/>
      <w:r w:rsidRPr="00145C0A">
        <w:t xml:space="preserve"> must act with the genocidal intent described in article 2 of the Convention. Given that in the </w:t>
      </w:r>
      <w:r w:rsidRPr="00145C0A">
        <w:rPr>
          <w:i/>
        </w:rPr>
        <w:t>Bashir case</w:t>
      </w:r>
      <w:r w:rsidRPr="00145C0A">
        <w:t>, the issue was not the involvement of a mid-level commander or direct perpetrator but rather an individual at the highest leadership level, the Pre-Trial Chamber said the knowledge-based approach was irrelevant to its determination.</w:t>
      </w:r>
    </w:p>
    <w:p w14:paraId="58D8D271" w14:textId="343DB9F0" w:rsidR="005E687E" w:rsidRDefault="00013B42" w:rsidP="00B2312E">
      <w:pPr>
        <w:pStyle w:val="p"/>
      </w:pPr>
      <w:r w:rsidRPr="00145C0A">
        <w:t xml:space="preserve">This may have been underselling the principles of the ‘knowledge-based approach’, bearing in mind that it has been developed by scholars who do not </w:t>
      </w:r>
      <w:r w:rsidR="00525DE5">
        <w:t>entire</w:t>
      </w:r>
      <w:r w:rsidRPr="00145C0A">
        <w:t>ly agree amongst themselves. One feature of the approach is its emphasis not on the specific intent of individual perpetrators but rather on the plan or policy behind the genocidal campaign itself. It is consistent with the controversial Element in the Element</w:t>
      </w:r>
      <w:r>
        <w:t>s</w:t>
      </w:r>
      <w:r w:rsidRPr="00145C0A">
        <w:t xml:space="preserve"> of Crimes because it tends to dismiss the thesis of the lone perpetrator, requiring that the destruction of the group be a feasible outcome of the ensemble of acts of genocide. </w:t>
      </w:r>
      <w:r>
        <w:t>For all practical purposes, the knowledge-based approach excludes the possibility that genocide is the</w:t>
      </w:r>
      <w:r w:rsidRPr="00145C0A">
        <w:t xml:space="preserve"> work of isolated individuals. Genocide results from a plan or policy that is the creation of a State or State-like entity. A focus on the </w:t>
      </w:r>
      <w:proofErr w:type="spellStart"/>
      <w:r w:rsidRPr="00145C0A">
        <w:rPr>
          <w:i/>
        </w:rPr>
        <w:t>mens</w:t>
      </w:r>
      <w:proofErr w:type="spellEnd"/>
      <w:r w:rsidRPr="00145C0A">
        <w:rPr>
          <w:i/>
        </w:rPr>
        <w:t xml:space="preserve"> </w:t>
      </w:r>
      <w:proofErr w:type="spellStart"/>
      <w:r w:rsidRPr="00145C0A">
        <w:rPr>
          <w:i/>
        </w:rPr>
        <w:t>rea</w:t>
      </w:r>
      <w:proofErr w:type="spellEnd"/>
      <w:r w:rsidRPr="00145C0A">
        <w:rPr>
          <w:i/>
        </w:rPr>
        <w:t xml:space="preserve"> </w:t>
      </w:r>
      <w:r w:rsidRPr="00145C0A">
        <w:t>of individuals should only then arise with respect to the knowledge of such individuals of the plan</w:t>
      </w:r>
      <w:r>
        <w:t xml:space="preserve"> or policy</w:t>
      </w:r>
      <w:r w:rsidRPr="00145C0A">
        <w:t>. If they know of the plan</w:t>
      </w:r>
      <w:r>
        <w:t xml:space="preserve"> or policy</w:t>
      </w:r>
      <w:r w:rsidRPr="00145C0A">
        <w:t xml:space="preserve"> and contribute to its implementation, then they have the requisite </w:t>
      </w:r>
      <w:proofErr w:type="spellStart"/>
      <w:r w:rsidRPr="00D57E61">
        <w:rPr>
          <w:i/>
        </w:rPr>
        <w:t>mens</w:t>
      </w:r>
      <w:proofErr w:type="spellEnd"/>
      <w:r w:rsidRPr="00D57E61">
        <w:rPr>
          <w:i/>
        </w:rPr>
        <w:t xml:space="preserve"> </w:t>
      </w:r>
      <w:proofErr w:type="spellStart"/>
      <w:r w:rsidRPr="00D57E61">
        <w:rPr>
          <w:i/>
        </w:rPr>
        <w:t>rea</w:t>
      </w:r>
      <w:proofErr w:type="spellEnd"/>
      <w:r w:rsidRPr="00145C0A">
        <w:t xml:space="preserve">. In other words, the starting point for the analysis should be the existence of a plan or policy of a body with the </w:t>
      </w:r>
      <w:r w:rsidRPr="00145C0A">
        <w:lastRenderedPageBreak/>
        <w:t>capacity to destroy a protected group in whole or in part. To the extent that individual criminal responsibility is at issue, the analysis then proceeds to consider the knowledge of the plan by the individual and whether or not he or she could avail of an excuse or justification that might counteract the apparent mental element.</w:t>
      </w:r>
    </w:p>
    <w:p w14:paraId="034EC76B" w14:textId="589E836B" w:rsidR="00013B42" w:rsidRDefault="00013B42" w:rsidP="00B2312E">
      <w:pPr>
        <w:pStyle w:val="p"/>
      </w:pPr>
      <w:r w:rsidRPr="00145C0A">
        <w:t xml:space="preserve">The focus on individual intent that features in international criminal law </w:t>
      </w:r>
      <w:r w:rsidR="00467591">
        <w:t>cannot be automatically transposed to the debate about</w:t>
      </w:r>
      <w:r w:rsidRPr="00145C0A">
        <w:t xml:space="preserve"> State responsibility</w:t>
      </w:r>
      <w:r w:rsidR="00467591">
        <w:t xml:space="preserve"> for international crime</w:t>
      </w:r>
      <w:r w:rsidRPr="00145C0A">
        <w:t xml:space="preserve">. In practice, as </w:t>
      </w:r>
      <w:r w:rsidR="00225931">
        <w:t>the</w:t>
      </w:r>
      <w:r w:rsidRPr="00145C0A">
        <w:t xml:space="preserve"> </w:t>
      </w:r>
      <w:r w:rsidR="00225931">
        <w:t xml:space="preserve">International </w:t>
      </w:r>
      <w:r w:rsidRPr="00145C0A">
        <w:t>Court</w:t>
      </w:r>
      <w:r w:rsidR="00225931">
        <w:t xml:space="preserve"> of Justice</w:t>
      </w:r>
      <w:r w:rsidRPr="00145C0A">
        <w:t xml:space="preserve"> </w:t>
      </w:r>
      <w:proofErr w:type="spellStart"/>
      <w:r w:rsidR="00525DE5">
        <w:t>recognis</w:t>
      </w:r>
      <w:r w:rsidR="00225931">
        <w:t>ed</w:t>
      </w:r>
      <w:proofErr w:type="spellEnd"/>
      <w:r w:rsidR="00225931">
        <w:t xml:space="preserve"> </w:t>
      </w:r>
      <w:r w:rsidRPr="00145C0A">
        <w:t xml:space="preserve">in the 2007 judgment in </w:t>
      </w:r>
      <w:r>
        <w:t xml:space="preserve">the </w:t>
      </w:r>
      <w:r w:rsidRPr="00145C0A">
        <w:rPr>
          <w:i/>
        </w:rPr>
        <w:t>Bosnia</w:t>
      </w:r>
      <w:r>
        <w:t xml:space="preserve"> case</w:t>
      </w:r>
      <w:r w:rsidRPr="00145C0A">
        <w:t>, the word ‘intent’ and even ‘specific intent’ is used in the context of an analysis of policy. Whether or not one of the individual perpetrators in the Srebrenica massacre manifested the specific intent to commit genocide is really quite secondary to whether the events were the product of a coordinated plan perpetrated by an entity rather than the perverse product of a single mind.</w:t>
      </w:r>
    </w:p>
    <w:p w14:paraId="0044FC09" w14:textId="77777777" w:rsidR="00013B42" w:rsidRPr="00145C0A" w:rsidRDefault="00013B42" w:rsidP="00C848F4">
      <w:pPr>
        <w:pStyle w:val="xmsonormal"/>
        <w:spacing w:before="0" w:beforeAutospacing="0" w:after="0" w:afterAutospacing="0" w:line="360" w:lineRule="auto"/>
        <w:jc w:val="both"/>
        <w:rPr>
          <w:rFonts w:ascii="Times New Roman" w:hAnsi="Times New Roman"/>
          <w:sz w:val="24"/>
          <w:szCs w:val="24"/>
        </w:rPr>
      </w:pPr>
    </w:p>
    <w:p w14:paraId="7185A688" w14:textId="77777777" w:rsidR="00013B42" w:rsidRPr="006C30E0" w:rsidRDefault="00013B42" w:rsidP="00C848F4">
      <w:pPr>
        <w:pStyle w:val="xmsonormal"/>
        <w:keepNext/>
        <w:spacing w:before="0" w:beforeAutospacing="0" w:after="0" w:afterAutospacing="0" w:line="360" w:lineRule="auto"/>
        <w:jc w:val="both"/>
        <w:rPr>
          <w:rFonts w:ascii="Times New Roman" w:hAnsi="Times New Roman"/>
          <w:b/>
          <w:sz w:val="24"/>
          <w:szCs w:val="24"/>
        </w:rPr>
      </w:pPr>
      <w:r>
        <w:rPr>
          <w:rFonts w:ascii="Times New Roman" w:hAnsi="Times New Roman"/>
          <w:b/>
          <w:sz w:val="24"/>
          <w:szCs w:val="24"/>
        </w:rPr>
        <w:t>International Criminal Tribunal for the former Yugoslavia</w:t>
      </w:r>
    </w:p>
    <w:p w14:paraId="2F52A843" w14:textId="77777777" w:rsidR="00013B42" w:rsidRDefault="00013B42" w:rsidP="00C848F4">
      <w:pPr>
        <w:pStyle w:val="xmsonormal"/>
        <w:keepNext/>
        <w:spacing w:before="0" w:beforeAutospacing="0" w:after="0" w:afterAutospacing="0" w:line="360" w:lineRule="auto"/>
        <w:jc w:val="both"/>
        <w:rPr>
          <w:rFonts w:ascii="Times New Roman" w:hAnsi="Times New Roman"/>
          <w:sz w:val="24"/>
          <w:szCs w:val="24"/>
        </w:rPr>
      </w:pPr>
    </w:p>
    <w:p w14:paraId="1476B6A2" w14:textId="542493EF" w:rsidR="005E687E" w:rsidRDefault="00013B42" w:rsidP="00B2312E">
      <w:pPr>
        <w:pStyle w:val="p"/>
      </w:pPr>
      <w:r w:rsidRPr="00865D5B">
        <w:t xml:space="preserve">Only a </w:t>
      </w:r>
      <w:r w:rsidR="00525DE5">
        <w:t xml:space="preserve">relatively </w:t>
      </w:r>
      <w:r w:rsidRPr="00865D5B">
        <w:t xml:space="preserve">small number of cases at the </w:t>
      </w:r>
      <w:r w:rsidR="005E687E" w:rsidRPr="005E687E">
        <w:t>International Criminal Tribunal for the former Yugoslavia</w:t>
      </w:r>
      <w:r w:rsidRPr="005E687E">
        <w:t xml:space="preserve"> have dealt with cha</w:t>
      </w:r>
      <w:r>
        <w:t>rges of genocide. It i</w:t>
      </w:r>
      <w:r w:rsidRPr="00865D5B">
        <w:t xml:space="preserve">s therefore not unusual that it was only in mid-2010 that the Tribunal considered the judgment of the </w:t>
      </w:r>
      <w:r w:rsidR="005E687E">
        <w:t xml:space="preserve">International Court of </w:t>
      </w:r>
      <w:r>
        <w:t>J</w:t>
      </w:r>
      <w:r w:rsidR="005E687E">
        <w:t>ustice</w:t>
      </w:r>
      <w:r w:rsidRPr="00865D5B">
        <w:t xml:space="preserve">. The </w:t>
      </w:r>
      <w:proofErr w:type="spellStart"/>
      <w:r w:rsidRPr="00865D5B">
        <w:rPr>
          <w:i/>
        </w:rPr>
        <w:t>Popović</w:t>
      </w:r>
      <w:proofErr w:type="spellEnd"/>
      <w:r w:rsidRPr="00865D5B">
        <w:rPr>
          <w:i/>
        </w:rPr>
        <w:t xml:space="preserve"> </w:t>
      </w:r>
      <w:r w:rsidRPr="00865D5B">
        <w:t>et al. case</w:t>
      </w:r>
      <w:r w:rsidR="005E687E">
        <w:t xml:space="preserve"> </w:t>
      </w:r>
      <w:r w:rsidRPr="00865D5B">
        <w:t xml:space="preserve">concerned seven accused, four of whom were charged with genocide or, in the alternative, aiding and abetting genocide as participants in the Srebrenica massacre. Two of the accused, </w:t>
      </w:r>
      <w:proofErr w:type="spellStart"/>
      <w:r w:rsidRPr="00865D5B">
        <w:t>Vujadin</w:t>
      </w:r>
      <w:proofErr w:type="spellEnd"/>
      <w:r w:rsidRPr="00865D5B">
        <w:t xml:space="preserve"> </w:t>
      </w:r>
      <w:proofErr w:type="spellStart"/>
      <w:r w:rsidRPr="00865D5B">
        <w:t>Popović</w:t>
      </w:r>
      <w:proofErr w:type="spellEnd"/>
      <w:r w:rsidRPr="00865D5B">
        <w:t xml:space="preserve"> and </w:t>
      </w:r>
      <w:proofErr w:type="spellStart"/>
      <w:r w:rsidRPr="00865D5B">
        <w:t>Ljubiša</w:t>
      </w:r>
      <w:proofErr w:type="spellEnd"/>
      <w:r w:rsidRPr="00865D5B">
        <w:t xml:space="preserve"> </w:t>
      </w:r>
      <w:proofErr w:type="spellStart"/>
      <w:r w:rsidRPr="00865D5B">
        <w:t>Beara</w:t>
      </w:r>
      <w:proofErr w:type="spellEnd"/>
      <w:r w:rsidRPr="00865D5B">
        <w:t xml:space="preserve">, were convicted of genocide, while a third, </w:t>
      </w:r>
      <w:proofErr w:type="spellStart"/>
      <w:r w:rsidRPr="00865D5B">
        <w:t>Drago</w:t>
      </w:r>
      <w:proofErr w:type="spellEnd"/>
      <w:r w:rsidRPr="00865D5B">
        <w:t xml:space="preserve"> </w:t>
      </w:r>
      <w:proofErr w:type="spellStart"/>
      <w:r w:rsidRPr="00865D5B">
        <w:t>Nikolić</w:t>
      </w:r>
      <w:proofErr w:type="spellEnd"/>
      <w:r w:rsidRPr="00865D5B">
        <w:t xml:space="preserve">, was convicted of aiding and abetting genocide. </w:t>
      </w:r>
      <w:proofErr w:type="spellStart"/>
      <w:r w:rsidRPr="00865D5B">
        <w:t>Ludomir</w:t>
      </w:r>
      <w:proofErr w:type="spellEnd"/>
      <w:r w:rsidRPr="00865D5B">
        <w:t xml:space="preserve"> </w:t>
      </w:r>
      <w:proofErr w:type="spellStart"/>
      <w:r w:rsidRPr="00865D5B">
        <w:t>Borovčanin</w:t>
      </w:r>
      <w:proofErr w:type="spellEnd"/>
      <w:r w:rsidRPr="00865D5B">
        <w:t xml:space="preserve"> was acquitted of the genocide charge but convicted of aiding and abetting the crime against humanity of extermination. The Prosecutor did not appeal the acquit</w:t>
      </w:r>
      <w:r w:rsidR="005E687E">
        <w:t xml:space="preserve">tal of </w:t>
      </w:r>
      <w:proofErr w:type="spellStart"/>
      <w:r w:rsidR="005E687E">
        <w:t>Borovčanin</w:t>
      </w:r>
      <w:proofErr w:type="spellEnd"/>
      <w:r w:rsidR="005E687E">
        <w:t xml:space="preserve"> for genocide.</w:t>
      </w:r>
    </w:p>
    <w:p w14:paraId="1DFEC586" w14:textId="5551731F" w:rsidR="00230914" w:rsidRDefault="00013B42" w:rsidP="00B2312E">
      <w:pPr>
        <w:pStyle w:val="p"/>
      </w:pPr>
      <w:r w:rsidRPr="00865D5B">
        <w:t xml:space="preserve">The </w:t>
      </w:r>
      <w:proofErr w:type="spellStart"/>
      <w:r w:rsidRPr="00865D5B">
        <w:rPr>
          <w:i/>
        </w:rPr>
        <w:t>Popović</w:t>
      </w:r>
      <w:proofErr w:type="spellEnd"/>
      <w:r w:rsidRPr="00865D5B">
        <w:rPr>
          <w:i/>
        </w:rPr>
        <w:t xml:space="preserve"> </w:t>
      </w:r>
      <w:r w:rsidRPr="00865D5B">
        <w:t>Trial Chamber considered the legal elements of the crime of genocide in some detail, reviewing the case law on the subject. It cited</w:t>
      </w:r>
      <w:r w:rsidRPr="00865D5B">
        <w:rPr>
          <w:i/>
        </w:rPr>
        <w:t xml:space="preserve"> </w:t>
      </w:r>
      <w:r w:rsidRPr="00865D5B">
        <w:t xml:space="preserve">the </w:t>
      </w:r>
      <w:r w:rsidRPr="00865D5B">
        <w:rPr>
          <w:i/>
        </w:rPr>
        <w:t xml:space="preserve">Bosnia </w:t>
      </w:r>
      <w:r w:rsidR="00525DE5">
        <w:t xml:space="preserve">decision </w:t>
      </w:r>
      <w:r w:rsidR="00AE30FF">
        <w:t xml:space="preserve">of the </w:t>
      </w:r>
      <w:r w:rsidR="00525DE5">
        <w:t>International Court of Justice</w:t>
      </w:r>
      <w:r w:rsidRPr="00865D5B">
        <w:t xml:space="preserve"> on several occasions.</w:t>
      </w:r>
      <w:r>
        <w:rPr>
          <w:rStyle w:val="FootnoteReference"/>
        </w:rPr>
        <w:footnoteReference w:id="60"/>
      </w:r>
      <w:r w:rsidRPr="00865D5B">
        <w:t xml:space="preserve"> In almost all of these references, the Trial Chamber also referred to rulings of the </w:t>
      </w:r>
      <w:r w:rsidRPr="0040406E">
        <w:rPr>
          <w:i/>
        </w:rPr>
        <w:t>ad hoc</w:t>
      </w:r>
      <w:r w:rsidRPr="00865D5B">
        <w:t xml:space="preserve"> institutions, </w:t>
      </w:r>
      <w:r w:rsidRPr="00865D5B">
        <w:lastRenderedPageBreak/>
        <w:t xml:space="preserve">confirming the consistency of the international case law and the agreement of the </w:t>
      </w:r>
      <w:r w:rsidR="00DC7DCD">
        <w:t>International Court of Justice</w:t>
      </w:r>
      <w:r w:rsidRPr="00865D5B">
        <w:t xml:space="preserve"> with the legal findings of the </w:t>
      </w:r>
      <w:r w:rsidR="00DC7DCD">
        <w:rPr>
          <w:i/>
        </w:rPr>
        <w:t xml:space="preserve">ad hoc </w:t>
      </w:r>
      <w:r w:rsidR="00DC7DCD">
        <w:t>tribunals</w:t>
      </w:r>
      <w:r w:rsidRPr="00865D5B">
        <w:t>.</w:t>
      </w:r>
      <w:r w:rsidR="00230914">
        <w:t xml:space="preserve"> </w:t>
      </w:r>
      <w:r w:rsidRPr="008A059B">
        <w:t xml:space="preserve">Of particular interest was its consideration of the punishable acts, especially that </w:t>
      </w:r>
      <w:proofErr w:type="gramStart"/>
      <w:r w:rsidRPr="008A059B">
        <w:t>of</w:t>
      </w:r>
      <w:proofErr w:type="gramEnd"/>
      <w:r w:rsidRPr="008A059B">
        <w:t xml:space="preserve"> causing serious bodily or mental harm. The Trial Chamber approved of the statement by the Appeals Chamber of the </w:t>
      </w:r>
      <w:r w:rsidR="00230914">
        <w:t>International Criminal Tribunal for Rwanda</w:t>
      </w:r>
      <w:r w:rsidRPr="008A059B">
        <w:t xml:space="preserve"> in </w:t>
      </w:r>
      <w:proofErr w:type="spellStart"/>
      <w:r w:rsidRPr="008A059B">
        <w:rPr>
          <w:i/>
        </w:rPr>
        <w:t>Seromba</w:t>
      </w:r>
      <w:proofErr w:type="spellEnd"/>
      <w:r w:rsidRPr="008A059B">
        <w:rPr>
          <w:i/>
        </w:rPr>
        <w:t xml:space="preserve"> </w:t>
      </w:r>
      <w:r w:rsidRPr="008A059B">
        <w:t>that ‘[</w:t>
      </w:r>
      <w:proofErr w:type="gramStart"/>
      <w:r w:rsidRPr="008A059B">
        <w:t>t]o</w:t>
      </w:r>
      <w:proofErr w:type="gramEnd"/>
      <w:r w:rsidRPr="008A059B">
        <w:t xml:space="preserve"> support a conviction for genocide, the bodily harm or the mental harm inflicted on members of a group must be of such a serious nature as to threaten its destruction in whole or in part’.</w:t>
      </w:r>
      <w:r w:rsidRPr="005D750E">
        <w:rPr>
          <w:rStyle w:val="FootnoteReference"/>
        </w:rPr>
        <w:footnoteReference w:id="61"/>
      </w:r>
      <w:r w:rsidRPr="008A059B">
        <w:t xml:space="preserve"> It provided as examples of the act ‘torture, inhumane or degrading treatment, sexual violence including rape, interrogations combined with beatings, threats of death, and harm that damages health or causes disfigurement or serious injury to members of the targeted national, ethnical, racial or religious group’,</w:t>
      </w:r>
      <w:r w:rsidRPr="005D750E">
        <w:rPr>
          <w:rStyle w:val="FootnoteReference"/>
        </w:rPr>
        <w:footnoteReference w:id="62"/>
      </w:r>
      <w:r w:rsidRPr="008A059B">
        <w:t xml:space="preserve"> citing in support paragraph 319 of the judgment of the </w:t>
      </w:r>
      <w:r w:rsidR="00230914">
        <w:t>International Court of Justice</w:t>
      </w:r>
      <w:r w:rsidRPr="008A059B">
        <w:t xml:space="preserve"> in</w:t>
      </w:r>
      <w:r>
        <w:t xml:space="preserve"> the</w:t>
      </w:r>
      <w:r w:rsidRPr="008A059B">
        <w:t xml:space="preserve"> </w:t>
      </w:r>
      <w:r w:rsidRPr="008A059B">
        <w:rPr>
          <w:i/>
        </w:rPr>
        <w:t>Bosnia</w:t>
      </w:r>
      <w:r>
        <w:t xml:space="preserve"> case</w:t>
      </w:r>
      <w:r w:rsidRPr="008A059B">
        <w:rPr>
          <w:i/>
        </w:rPr>
        <w:t xml:space="preserve">. </w:t>
      </w:r>
      <w:r w:rsidRPr="008A059B">
        <w:t>The Trial Chamber also noted the holding of the Appeals Chamber that forcible transfer ‘does not constitute in and of itself a genocidal act’.</w:t>
      </w:r>
      <w:r w:rsidRPr="005D750E">
        <w:rPr>
          <w:rStyle w:val="FootnoteReference"/>
        </w:rPr>
        <w:footnoteReference w:id="63"/>
      </w:r>
      <w:r w:rsidRPr="008A059B">
        <w:t xml:space="preserve"> The footnote to this statement said: ‘The International Court of Justice has held that neither the intent to render an area ethnically homogenous nor operations to implement the policy “can </w:t>
      </w:r>
      <w:r w:rsidRPr="008A059B">
        <w:rPr>
          <w:i/>
        </w:rPr>
        <w:t>as such</w:t>
      </w:r>
      <w:r w:rsidRPr="008A059B">
        <w:t xml:space="preserve"> be designated as genocide: the intent that characterizes genocide is to ‘destroy, in whole or in part,’ a particular group, and deportation or displacement of the members of a group, even if effected by force, is not necessarily equivalent to destruction of that group</w:t>
      </w:r>
      <w:r w:rsidR="005115C6">
        <w:t>”</w:t>
      </w:r>
      <w:r w:rsidRPr="008A059B">
        <w:t>.</w:t>
      </w:r>
      <w:r w:rsidR="005115C6">
        <w:t>’</w:t>
      </w:r>
      <w:r w:rsidRPr="005D750E">
        <w:rPr>
          <w:rStyle w:val="FootnoteReference"/>
        </w:rPr>
        <w:footnoteReference w:id="64"/>
      </w:r>
    </w:p>
    <w:p w14:paraId="4C8CD938" w14:textId="30BA5995" w:rsidR="00230914" w:rsidRDefault="00013B42" w:rsidP="00B2312E">
      <w:pPr>
        <w:pStyle w:val="p"/>
      </w:pPr>
      <w:r w:rsidRPr="008A059B">
        <w:t>Referring to the punishable acts of genocide that are listed in the five paragraphs of article 2 of the Genocide Convention, the Trial Chamber said that the methods of destruction covered in the third act – ‘Deliberately inflicting on the group conditions of life calculated to bring about its physical destruction in whole or in part’ – are ‘those seeking a group’s physical or biological destruction’.</w:t>
      </w:r>
      <w:r w:rsidRPr="00B71673">
        <w:rPr>
          <w:rStyle w:val="FootnoteReference"/>
        </w:rPr>
        <w:footnoteReference w:id="65"/>
      </w:r>
      <w:r w:rsidRPr="008A059B">
        <w:t xml:space="preserve"> Here it referred in support to paragraph 344 of </w:t>
      </w:r>
      <w:r w:rsidR="00230914">
        <w:t>the International Court’s</w:t>
      </w:r>
      <w:r w:rsidRPr="008A059B">
        <w:t xml:space="preserve"> 2007 judgment, </w:t>
      </w:r>
      <w:r w:rsidR="00230914">
        <w:t>citing</w:t>
      </w:r>
      <w:r w:rsidRPr="008A059B">
        <w:t xml:space="preserve"> </w:t>
      </w:r>
      <w:r w:rsidR="00525DE5">
        <w:t xml:space="preserve">the </w:t>
      </w:r>
      <w:r w:rsidRPr="008A059B">
        <w:t xml:space="preserve">statement that ‘the destruction of historical, cultural and religious heritage cannot be considered to constitute the deliberate infliction of conditions of life calculated to bring about the physical destruction of the group’. The Trial Chamber also considered </w:t>
      </w:r>
      <w:r w:rsidRPr="008A059B">
        <w:lastRenderedPageBreak/>
        <w:t>briefly the fourth act of genocide – ‘Imposing measures intended to prevent births within the group’ – in concluding that ‘[</w:t>
      </w:r>
      <w:proofErr w:type="gramStart"/>
      <w:r w:rsidRPr="008A059B">
        <w:t>t]o</w:t>
      </w:r>
      <w:proofErr w:type="gramEnd"/>
      <w:r w:rsidRPr="008A059B">
        <w:t xml:space="preserve"> amount to a genocidal act, the evidence must establish that the acts were carried out with intent to prevent births within the group and ultimately to destroy the group as such, in whole or in part’.</w:t>
      </w:r>
      <w:r w:rsidRPr="00B71673">
        <w:rPr>
          <w:rStyle w:val="FootnoteReference"/>
        </w:rPr>
        <w:footnoteReference w:id="66"/>
      </w:r>
      <w:r w:rsidRPr="008A059B">
        <w:t xml:space="preserve"> It provided as authority two paragraphs from </w:t>
      </w:r>
      <w:r w:rsidR="00230914">
        <w:t>the International Court’s</w:t>
      </w:r>
      <w:r w:rsidRPr="008A059B">
        <w:t xml:space="preserve"> 2007 judgment.</w:t>
      </w:r>
      <w:r w:rsidRPr="00B71673">
        <w:rPr>
          <w:rStyle w:val="FootnoteReference"/>
        </w:rPr>
        <w:footnoteReference w:id="67"/>
      </w:r>
    </w:p>
    <w:p w14:paraId="1A158CA0" w14:textId="77777777" w:rsidR="00073371" w:rsidRDefault="00013B42" w:rsidP="00B2312E">
      <w:pPr>
        <w:pStyle w:val="p"/>
      </w:pPr>
      <w:r w:rsidRPr="008A059B">
        <w:t xml:space="preserve">The Trial Chamber also devoted significant attention to the contention by one of the defendants that the crime of genocide comprised an element of State policy. The Trial Chamber rejected this argument, stating that jurisprudence of the </w:t>
      </w:r>
      <w:r w:rsidRPr="008A059B">
        <w:rPr>
          <w:i/>
        </w:rPr>
        <w:t xml:space="preserve">ad hoc </w:t>
      </w:r>
      <w:r w:rsidRPr="008A059B">
        <w:t>tribunals had ‘made it clear that a plan or policy is not a statutory element of the crime of genocide’.</w:t>
      </w:r>
      <w:r w:rsidRPr="002C02CA">
        <w:rPr>
          <w:rStyle w:val="FootnoteReference"/>
        </w:rPr>
        <w:footnoteReference w:id="68"/>
      </w:r>
      <w:r w:rsidRPr="008A059B">
        <w:t xml:space="preserve"> The Trial Chamber referred to the Elements of Crimes of the </w:t>
      </w:r>
      <w:r w:rsidR="00073371">
        <w:t>International Criminal Court</w:t>
      </w:r>
      <w:r w:rsidRPr="008A059B">
        <w:t xml:space="preserve">, </w:t>
      </w:r>
      <w:r w:rsidR="00956827">
        <w:t>hold</w:t>
      </w:r>
      <w:r w:rsidR="00956827" w:rsidRPr="008A059B">
        <w:t xml:space="preserve">ing </w:t>
      </w:r>
      <w:r w:rsidRPr="008A059B">
        <w:t>that article 6 of the Rome Statute, which consists of the definition of genocide drawn from the 1948 Convention, ‘does not prescribe the requirement of “manifest pattern” introduced in the ICC Elements of Crimes’.</w:t>
      </w:r>
      <w:r w:rsidRPr="002C02CA">
        <w:rPr>
          <w:rStyle w:val="FootnoteReference"/>
        </w:rPr>
        <w:footnoteReference w:id="69"/>
      </w:r>
      <w:r w:rsidRPr="008A059B">
        <w:t xml:space="preserve"> The Trial Chamber said that ‘the language of the ICC Elements of Crimes, in requiring that acts of genocide must be committed in the context of a manifest pattern of similar conduct, implicitly excludes random or isolated acts of genocide’.</w:t>
      </w:r>
      <w:r w:rsidRPr="002C02CA">
        <w:rPr>
          <w:rStyle w:val="FootnoteReference"/>
        </w:rPr>
        <w:footnoteReference w:id="70"/>
      </w:r>
      <w:r w:rsidRPr="008A059B">
        <w:t xml:space="preserve"> It said that the Appeals Chamber of the </w:t>
      </w:r>
      <w:r w:rsidR="00073371">
        <w:t>Yugoslavia Tribunal</w:t>
      </w:r>
      <w:r w:rsidRPr="008A059B">
        <w:t xml:space="preserve"> in the </w:t>
      </w:r>
      <w:proofErr w:type="spellStart"/>
      <w:r w:rsidRPr="008A059B">
        <w:rPr>
          <w:i/>
        </w:rPr>
        <w:t>Krstic</w:t>
      </w:r>
      <w:proofErr w:type="spellEnd"/>
      <w:r w:rsidRPr="008A059B">
        <w:rPr>
          <w:i/>
        </w:rPr>
        <w:t xml:space="preserve">́ case </w:t>
      </w:r>
      <w:r w:rsidRPr="008A059B">
        <w:t>had already said ‘reliance on the definition of genocide given in the ICC’s Elements of Crimes is inapposite’.</w:t>
      </w:r>
      <w:r w:rsidRPr="002C02CA">
        <w:rPr>
          <w:rStyle w:val="FootnoteReference"/>
        </w:rPr>
        <w:footnoteReference w:id="71"/>
      </w:r>
      <w:r w:rsidRPr="008A059B">
        <w:t xml:space="preserve"> Although the </w:t>
      </w:r>
      <w:proofErr w:type="gramStart"/>
      <w:r w:rsidRPr="008A059B">
        <w:t xml:space="preserve">passage was not cited by the Trial Chamber in </w:t>
      </w:r>
      <w:proofErr w:type="spellStart"/>
      <w:r w:rsidRPr="008A059B">
        <w:rPr>
          <w:i/>
        </w:rPr>
        <w:t>Popovic</w:t>
      </w:r>
      <w:proofErr w:type="spellEnd"/>
      <w:r w:rsidRPr="008A059B">
        <w:rPr>
          <w:i/>
        </w:rPr>
        <w:t>́</w:t>
      </w:r>
      <w:proofErr w:type="gramEnd"/>
      <w:r w:rsidRPr="008A059B">
        <w:t xml:space="preserve">, the Appeals Chamber in </w:t>
      </w:r>
      <w:proofErr w:type="spellStart"/>
      <w:r w:rsidRPr="008A059B">
        <w:rPr>
          <w:i/>
        </w:rPr>
        <w:t>Krstic</w:t>
      </w:r>
      <w:proofErr w:type="spellEnd"/>
      <w:r w:rsidRPr="008A059B">
        <w:rPr>
          <w:i/>
        </w:rPr>
        <w:t>́</w:t>
      </w:r>
      <w:r w:rsidRPr="008A059B">
        <w:t xml:space="preserve"> had gone on to say that because ‘the definition adopted by the Elements of Crimes did not reflect customary law as it existed at the time </w:t>
      </w:r>
      <w:proofErr w:type="spellStart"/>
      <w:r w:rsidRPr="008A059B">
        <w:t>Krstic</w:t>
      </w:r>
      <w:proofErr w:type="spellEnd"/>
      <w:r w:rsidRPr="008A059B">
        <w:t>́ committed his crimes, it cannot be used to support the Trial Chamber’s conclusion’.</w:t>
      </w:r>
      <w:r w:rsidRPr="002C02CA">
        <w:rPr>
          <w:rStyle w:val="FootnoteReference"/>
        </w:rPr>
        <w:footnoteReference w:id="72"/>
      </w:r>
      <w:r w:rsidRPr="008A059B">
        <w:t xml:space="preserve"> The </w:t>
      </w:r>
      <w:proofErr w:type="spellStart"/>
      <w:r w:rsidRPr="008A059B">
        <w:rPr>
          <w:i/>
        </w:rPr>
        <w:t>Popovic</w:t>
      </w:r>
      <w:proofErr w:type="spellEnd"/>
      <w:r w:rsidRPr="008A059B">
        <w:rPr>
          <w:i/>
        </w:rPr>
        <w:t xml:space="preserve">́ </w:t>
      </w:r>
      <w:r w:rsidRPr="008A059B">
        <w:t>Trial Chamber concluded ‘that a plan or policy is not a legal ingredient of the crime of genocide… However, the Trial Chamber considers the existence of a plan or policy can be an important factor in inferring genocidal intent.’</w:t>
      </w:r>
      <w:r w:rsidRPr="002C02CA">
        <w:rPr>
          <w:rStyle w:val="FootnoteReference"/>
        </w:rPr>
        <w:footnoteReference w:id="73"/>
      </w:r>
      <w:r w:rsidRPr="008A059B">
        <w:t xml:space="preserve"> The </w:t>
      </w:r>
      <w:proofErr w:type="spellStart"/>
      <w:r w:rsidRPr="008A059B">
        <w:rPr>
          <w:i/>
        </w:rPr>
        <w:t>Popovic</w:t>
      </w:r>
      <w:proofErr w:type="spellEnd"/>
      <w:r w:rsidRPr="008A059B">
        <w:rPr>
          <w:i/>
        </w:rPr>
        <w:t xml:space="preserve">́ </w:t>
      </w:r>
      <w:r w:rsidRPr="008A059B">
        <w:t xml:space="preserve">Trial Chamber did not mention or otherwise consider the </w:t>
      </w:r>
      <w:r>
        <w:t>ruling</w:t>
      </w:r>
      <w:r w:rsidRPr="008A059B">
        <w:t xml:space="preserve"> of the Pre-Trial Chamber of the </w:t>
      </w:r>
      <w:r w:rsidR="00073371">
        <w:t>International Criminal Court</w:t>
      </w:r>
      <w:r w:rsidRPr="008A059B">
        <w:t xml:space="preserve"> issued </w:t>
      </w:r>
      <w:r w:rsidR="00073371">
        <w:t>fifteen</w:t>
      </w:r>
      <w:r w:rsidRPr="008A059B">
        <w:t xml:space="preserve"> </w:t>
      </w:r>
      <w:r w:rsidRPr="008A059B">
        <w:lastRenderedPageBreak/>
        <w:t xml:space="preserve">months earlier on the </w:t>
      </w:r>
      <w:r w:rsidRPr="008A059B">
        <w:rPr>
          <w:i/>
        </w:rPr>
        <w:t xml:space="preserve">Bashir </w:t>
      </w:r>
      <w:r w:rsidRPr="008A059B">
        <w:t>arrest warrant.</w:t>
      </w:r>
      <w:r w:rsidR="00956827">
        <w:t xml:space="preserve"> Here then there is a very significant contrast in the interpretation of article 2 of the Convention by chambers of the </w:t>
      </w:r>
      <w:r w:rsidR="00073371">
        <w:t>International Criminal Court</w:t>
      </w:r>
      <w:r w:rsidR="00956827">
        <w:t xml:space="preserve"> and the </w:t>
      </w:r>
      <w:r w:rsidR="00073371">
        <w:t>International Criminal Tribunal for the former Yugoslavia</w:t>
      </w:r>
      <w:r w:rsidR="00956827">
        <w:t>.</w:t>
      </w:r>
    </w:p>
    <w:p w14:paraId="28302DFD" w14:textId="29845EE7" w:rsidR="00B2312E" w:rsidRPr="00392446" w:rsidRDefault="00B2312E" w:rsidP="00B2312E">
      <w:pPr>
        <w:pStyle w:val="p"/>
      </w:pPr>
      <w:r w:rsidRPr="00B2312E">
        <w:t xml:space="preserve">The Appeals Chamber delivered its judgment in </w:t>
      </w:r>
      <w:proofErr w:type="spellStart"/>
      <w:r w:rsidRPr="00B2312E">
        <w:rPr>
          <w:i/>
        </w:rPr>
        <w:t>Popović</w:t>
      </w:r>
      <w:proofErr w:type="spellEnd"/>
      <w:r w:rsidRPr="00B2312E">
        <w:rPr>
          <w:i/>
        </w:rPr>
        <w:t xml:space="preserve"> </w:t>
      </w:r>
      <w:r w:rsidRPr="00B2312E">
        <w:t xml:space="preserve">et al. only three days before the judgment of the </w:t>
      </w:r>
      <w:r>
        <w:t xml:space="preserve">International Court of Justice in </w:t>
      </w:r>
      <w:r>
        <w:rPr>
          <w:i/>
        </w:rPr>
        <w:t xml:space="preserve">Croatia </w:t>
      </w:r>
      <w:r>
        <w:t xml:space="preserve">v. </w:t>
      </w:r>
      <w:r>
        <w:rPr>
          <w:i/>
        </w:rPr>
        <w:t xml:space="preserve">Serbia. </w:t>
      </w:r>
      <w:r w:rsidR="00392446">
        <w:t xml:space="preserve">There were </w:t>
      </w:r>
      <w:r w:rsidR="00525DE5">
        <w:t>only two rather perfunctory references to the 2007</w:t>
      </w:r>
      <w:r w:rsidR="00392446">
        <w:t xml:space="preserve"> judgment of the Court in the </w:t>
      </w:r>
      <w:r w:rsidR="00392446">
        <w:rPr>
          <w:i/>
        </w:rPr>
        <w:t xml:space="preserve">Bosnia and Herzegovina </w:t>
      </w:r>
      <w:r w:rsidR="00392446">
        <w:t xml:space="preserve">v. </w:t>
      </w:r>
      <w:r w:rsidR="00392446">
        <w:rPr>
          <w:i/>
        </w:rPr>
        <w:t xml:space="preserve">Serbia </w:t>
      </w:r>
      <w:r w:rsidR="00392446">
        <w:t>case. One of the defendants had invoked the decision in support of the contention that there is an implicit requirement in the definition of genocide that it be perpetrated pursuant to a plan or policy. The Appeals Chamber did not find that the International Court of Justice provided support for this argument.</w:t>
      </w:r>
      <w:r w:rsidR="00392446">
        <w:rPr>
          <w:rStyle w:val="FootnoteReference"/>
        </w:rPr>
        <w:footnoteReference w:id="74"/>
      </w:r>
    </w:p>
    <w:p w14:paraId="735DC135" w14:textId="77777777" w:rsidR="00073371" w:rsidRDefault="00013B42" w:rsidP="00B2312E">
      <w:pPr>
        <w:pStyle w:val="p"/>
      </w:pPr>
      <w:r w:rsidRPr="00EC39D3">
        <w:t xml:space="preserve">The trial of Radovan </w:t>
      </w:r>
      <w:proofErr w:type="spellStart"/>
      <w:r w:rsidRPr="00EC39D3">
        <w:t>Karadžić</w:t>
      </w:r>
      <w:proofErr w:type="spellEnd"/>
      <w:r w:rsidRPr="00EC39D3">
        <w:t xml:space="preserve">, who was the senior civilian official of the Bosnian Serbs for the period from 1992 to 1995, began in October 2009. The Prosecutor has alleged that </w:t>
      </w:r>
      <w:proofErr w:type="spellStart"/>
      <w:r w:rsidRPr="00EC39D3">
        <w:t>Karadžić</w:t>
      </w:r>
      <w:proofErr w:type="spellEnd"/>
      <w:r w:rsidRPr="00EC39D3">
        <w:t xml:space="preserve">, as the highest civilian and military authority in the </w:t>
      </w:r>
      <w:proofErr w:type="spellStart"/>
      <w:r w:rsidRPr="00EC39D3">
        <w:t>Republika</w:t>
      </w:r>
      <w:proofErr w:type="spellEnd"/>
      <w:r w:rsidRPr="00EC39D3">
        <w:t xml:space="preserve"> </w:t>
      </w:r>
      <w:proofErr w:type="spellStart"/>
      <w:r w:rsidRPr="00EC39D3">
        <w:t>Srpska</w:t>
      </w:r>
      <w:proofErr w:type="spellEnd"/>
      <w:r w:rsidRPr="00EC39D3">
        <w:t xml:space="preserve">, participated in an ‘overarching joint criminal enterprise to permanently remove Bosnian Muslims and Bosnian Croats from Bosnian Serb-claimed territory in </w:t>
      </w:r>
      <w:proofErr w:type="spellStart"/>
      <w:r w:rsidRPr="00EC39D3">
        <w:t>BiH</w:t>
      </w:r>
      <w:proofErr w:type="spellEnd"/>
      <w:r w:rsidRPr="00EC39D3">
        <w:t>’.</w:t>
      </w:r>
      <w:r w:rsidRPr="00EC39D3">
        <w:rPr>
          <w:rStyle w:val="FootnoteReference"/>
        </w:rPr>
        <w:footnoteReference w:id="75"/>
      </w:r>
      <w:r w:rsidRPr="00EC39D3">
        <w:t xml:space="preserve"> This objective ‘was primarily achieved through a campaign of persecutions as alleged in this indictment. In some municipalities, between 31 March 1992 and 31 December 1992 this campaign of persecutions included or escalated to include conduct that manifested an intent to destroy in part the national, ethnical and/or religious groups of Bosnian Muslims and/or Bosnian Croats as such. In such municipalities, a significant section of the Bosnian Muslim and/or Bosnian Croat groups, namely their leaderships, as well as a substantial number of members of these groups were targeted for destruction.’</w:t>
      </w:r>
      <w:r w:rsidRPr="00EC39D3">
        <w:rPr>
          <w:rStyle w:val="FootnoteReference"/>
        </w:rPr>
        <w:footnoteReference w:id="76"/>
      </w:r>
      <w:r w:rsidRPr="00EC39D3">
        <w:t xml:space="preserve"> The genocidal acts that are alleged correspond to the first three paragraphs of article 2 of the Genocide Convention, namely, killing, causing serious bodily or mental harm, and deliberately inflicting upon detainees conditions of life calculated to bring about their physical destruction.</w:t>
      </w:r>
    </w:p>
    <w:p w14:paraId="2AD45DE9" w14:textId="77777777" w:rsidR="00073371" w:rsidRDefault="00013B42" w:rsidP="00B2312E">
      <w:pPr>
        <w:pStyle w:val="p"/>
      </w:pPr>
      <w:r w:rsidRPr="00E549ED">
        <w:t xml:space="preserve">On 28 June 2012, after the Prosecutor had concluded the presentation of the case against the accused, the Trial Chamber granted in part the motion to acquit </w:t>
      </w:r>
      <w:r w:rsidRPr="00E549ED">
        <w:lastRenderedPageBreak/>
        <w:t>presented pursuant to Rule 98</w:t>
      </w:r>
      <w:r w:rsidRPr="00525DE5">
        <w:rPr>
          <w:i/>
        </w:rPr>
        <w:t>bis</w:t>
      </w:r>
      <w:r w:rsidRPr="00E549ED">
        <w:t xml:space="preserve"> of the Rules of Procedure and Evidence and </w:t>
      </w:r>
      <w:r w:rsidR="00956827" w:rsidRPr="00E549ED">
        <w:t>removed</w:t>
      </w:r>
      <w:r w:rsidRPr="00E549ED">
        <w:t xml:space="preserve"> the charge of genocide with respect to activities of Bosnian Serb forces in the municipalities. It retained the charge of genocide concerning Srebrenica.</w:t>
      </w:r>
      <w:r w:rsidRPr="00B71673">
        <w:rPr>
          <w:rStyle w:val="FootnoteReference"/>
        </w:rPr>
        <w:footnoteReference w:id="77"/>
      </w:r>
      <w:r w:rsidRPr="00E549ED">
        <w:t xml:space="preserve"> The Trial Chamber issued its ruling orally, as has been the practice at </w:t>
      </w:r>
      <w:r w:rsidR="00073371">
        <w:t>the Yugoslavia Tribunal</w:t>
      </w:r>
      <w:r w:rsidRPr="00E549ED">
        <w:t xml:space="preserve"> for more than a decade.</w:t>
      </w:r>
    </w:p>
    <w:p w14:paraId="7369E2F3" w14:textId="4F47D5AE" w:rsidR="00013B42" w:rsidRPr="00E549ED" w:rsidRDefault="00013B42" w:rsidP="00B2312E">
      <w:pPr>
        <w:pStyle w:val="p"/>
      </w:pPr>
      <w:r w:rsidRPr="00E549ED">
        <w:t xml:space="preserve">With respect to the charge of genocide perpetrated in the municipalities over the course of the war as a whole, the Trial Chamber began by stating that it was not bound either by earlier findings during trials before the Tribunal or by the judgment of the </w:t>
      </w:r>
      <w:r w:rsidR="00073371">
        <w:t>International Court of Justice</w:t>
      </w:r>
      <w:r w:rsidRPr="00E549ED">
        <w:t xml:space="preserve"> of February 2007.</w:t>
      </w:r>
      <w:r w:rsidRPr="00B71673">
        <w:rPr>
          <w:rStyle w:val="FootnoteReference"/>
        </w:rPr>
        <w:footnoteReference w:id="78"/>
      </w:r>
      <w:r w:rsidRPr="00E549ED">
        <w:t xml:space="preserve"> The Chamber said that the evidence submitted to the Tribunal by the Prosecutor indicated ‘that a large number of Bosnian Muslims and/or Bosnian Croats were killed by Bosnian Serb forces in the municipalities during and after their alleged take-over and while in detention’.</w:t>
      </w:r>
      <w:r w:rsidRPr="00B71673">
        <w:rPr>
          <w:rStyle w:val="FootnoteReference"/>
        </w:rPr>
        <w:footnoteReference w:id="79"/>
      </w:r>
      <w:r w:rsidRPr="00E549ED">
        <w:t xml:space="preserve"> It said this evidence was ‘capable of supporting a conclusion that Bosnian Muslims and/or Bosnian Croats were killed on a large scale with the intent to kill with persecutory intent’.</w:t>
      </w:r>
      <w:r w:rsidRPr="00E549ED">
        <w:rPr>
          <w:rStyle w:val="FootnoteReference"/>
        </w:rPr>
        <w:t xml:space="preserve"> </w:t>
      </w:r>
      <w:r w:rsidRPr="00B71673">
        <w:rPr>
          <w:rStyle w:val="FootnoteReference"/>
        </w:rPr>
        <w:footnoteReference w:id="80"/>
      </w:r>
      <w:r w:rsidRPr="00E549ED">
        <w:t xml:space="preserve"> Furthermore,</w:t>
      </w:r>
    </w:p>
    <w:p w14:paraId="40348168" w14:textId="77777777" w:rsidR="00013B42" w:rsidRPr="00B71673" w:rsidRDefault="00013B42" w:rsidP="00C848F4">
      <w:pPr>
        <w:widowControl w:val="0"/>
        <w:autoSpaceDE w:val="0"/>
        <w:autoSpaceDN w:val="0"/>
        <w:adjustRightInd w:val="0"/>
        <w:spacing w:line="360" w:lineRule="auto"/>
        <w:jc w:val="both"/>
        <w:rPr>
          <w:rFonts w:ascii="Times New Roman" w:hAnsi="Times New Roman"/>
        </w:rPr>
      </w:pPr>
    </w:p>
    <w:p w14:paraId="395559CF" w14:textId="77777777" w:rsidR="00013B42" w:rsidRPr="00E549ED" w:rsidRDefault="00013B42" w:rsidP="00C848F4">
      <w:pPr>
        <w:widowControl w:val="0"/>
        <w:autoSpaceDE w:val="0"/>
        <w:autoSpaceDN w:val="0"/>
        <w:adjustRightInd w:val="0"/>
        <w:jc w:val="both"/>
        <w:rPr>
          <w:rFonts w:ascii="Times New Roman" w:hAnsi="Times New Roman"/>
          <w:sz w:val="20"/>
          <w:szCs w:val="20"/>
        </w:rPr>
      </w:pPr>
      <w:proofErr w:type="gramStart"/>
      <w:r w:rsidRPr="00E549ED">
        <w:rPr>
          <w:rFonts w:ascii="Times New Roman" w:hAnsi="Times New Roman"/>
          <w:sz w:val="20"/>
          <w:szCs w:val="20"/>
        </w:rPr>
        <w:t>the</w:t>
      </w:r>
      <w:proofErr w:type="gramEnd"/>
      <w:r w:rsidRPr="00E549ED">
        <w:rPr>
          <w:rFonts w:ascii="Times New Roman" w:hAnsi="Times New Roman"/>
          <w:sz w:val="20"/>
          <w:szCs w:val="20"/>
        </w:rPr>
        <w:t xml:space="preserve"> determination of whether there is evidence capable of supporting a conviction for genocide does not involve a numerical assessment of the number of people killed and does not have a numeric threshold.  However, the evidence the Chamber received in relation to the municipalities, even if taken at its highest, does not reach the level from which a reasonable trier of fact could infer that a significant section of the Bosnian Muslim and/or Bosnian Croat groups and a substantial number of members of these groups were targeted for destruction so as to have an impact on the existence of the Bosnian Muslims and/or Bosnian Croats as such.</w:t>
      </w:r>
      <w:r w:rsidRPr="00427F8D">
        <w:rPr>
          <w:rStyle w:val="FootnoteReference"/>
          <w:rFonts w:ascii="Times New Roman" w:hAnsi="Times New Roman"/>
          <w:sz w:val="20"/>
          <w:szCs w:val="20"/>
        </w:rPr>
        <w:footnoteReference w:id="81"/>
      </w:r>
    </w:p>
    <w:p w14:paraId="1A632AAD" w14:textId="77777777" w:rsidR="00013B42" w:rsidRPr="00B71673" w:rsidRDefault="00013B42" w:rsidP="00C848F4">
      <w:pPr>
        <w:widowControl w:val="0"/>
        <w:autoSpaceDE w:val="0"/>
        <w:autoSpaceDN w:val="0"/>
        <w:adjustRightInd w:val="0"/>
        <w:spacing w:line="360" w:lineRule="auto"/>
        <w:jc w:val="both"/>
        <w:rPr>
          <w:rFonts w:ascii="Times New Roman" w:hAnsi="Times New Roman"/>
        </w:rPr>
      </w:pPr>
    </w:p>
    <w:p w14:paraId="6443D9EA" w14:textId="77777777" w:rsidR="00073371" w:rsidRDefault="00013B42" w:rsidP="00C848F4">
      <w:pPr>
        <w:widowControl w:val="0"/>
        <w:autoSpaceDE w:val="0"/>
        <w:autoSpaceDN w:val="0"/>
        <w:adjustRightInd w:val="0"/>
        <w:spacing w:line="360" w:lineRule="auto"/>
        <w:jc w:val="both"/>
        <w:rPr>
          <w:rFonts w:ascii="Times New Roman" w:hAnsi="Times New Roman"/>
        </w:rPr>
      </w:pPr>
      <w:r w:rsidRPr="00E549ED">
        <w:rPr>
          <w:rFonts w:ascii="Times New Roman" w:hAnsi="Times New Roman"/>
        </w:rPr>
        <w:t>Turning to the punishable acts of genocide that are enumerated in the five paragraphs of article 2 of the Genocide Convention, the Trial Chamber said that ‘serious bodily harm must go beyond temporary unhappiness, embarrassment or humiliation, and result in a grave and long-term disadvantage to a person's ability to lead a normal and constructive life, but it need not be permanent and irremediable’.</w:t>
      </w:r>
      <w:r w:rsidRPr="00B71673">
        <w:rPr>
          <w:rStyle w:val="FootnoteReference"/>
          <w:rFonts w:ascii="Times New Roman" w:hAnsi="Times New Roman"/>
        </w:rPr>
        <w:footnoteReference w:id="82"/>
      </w:r>
      <w:r w:rsidRPr="00E549ED">
        <w:rPr>
          <w:rFonts w:ascii="Times New Roman" w:hAnsi="Times New Roman"/>
        </w:rPr>
        <w:t xml:space="preserve"> But it added that </w:t>
      </w:r>
      <w:r w:rsidRPr="00E549ED">
        <w:rPr>
          <w:rFonts w:ascii="Times New Roman" w:hAnsi="Times New Roman"/>
          <w:lang w:val="en-US"/>
        </w:rPr>
        <w:t>‘</w:t>
      </w:r>
      <w:r w:rsidRPr="00E549ED">
        <w:rPr>
          <w:rFonts w:ascii="Times New Roman" w:hAnsi="Times New Roman"/>
        </w:rPr>
        <w:t xml:space="preserve">in order to support a conviction for genocide, the bodily or mental harm inflicted on members of a group must be of such a serious nature as to threaten its destruction in </w:t>
      </w:r>
      <w:r w:rsidRPr="00E549ED">
        <w:rPr>
          <w:rFonts w:ascii="Times New Roman" w:hAnsi="Times New Roman"/>
        </w:rPr>
        <w:lastRenderedPageBreak/>
        <w:t>whole or in part’.</w:t>
      </w:r>
      <w:r w:rsidRPr="00B71673">
        <w:rPr>
          <w:rStyle w:val="FootnoteReference"/>
          <w:rFonts w:ascii="Times New Roman" w:hAnsi="Times New Roman"/>
        </w:rPr>
        <w:footnoteReference w:id="83"/>
      </w:r>
      <w:r w:rsidRPr="00E549ED">
        <w:rPr>
          <w:rFonts w:ascii="Times New Roman" w:hAnsi="Times New Roman"/>
        </w:rPr>
        <w:t xml:space="preserve"> Referring to the jurisprudence of the Tribunal, and specifically the Appeals Chamber ruling in </w:t>
      </w:r>
      <w:r w:rsidRPr="00E549ED">
        <w:rPr>
          <w:rFonts w:ascii="Times New Roman" w:hAnsi="Times New Roman"/>
          <w:i/>
        </w:rPr>
        <w:t xml:space="preserve">Prosecutor v. </w:t>
      </w:r>
      <w:proofErr w:type="spellStart"/>
      <w:r w:rsidRPr="00E549ED">
        <w:rPr>
          <w:rFonts w:ascii="Times New Roman" w:hAnsi="Times New Roman"/>
          <w:i/>
        </w:rPr>
        <w:t>Krsti</w:t>
      </w:r>
      <w:proofErr w:type="spellEnd"/>
      <w:r w:rsidRPr="00E549ED">
        <w:rPr>
          <w:rFonts w:ascii="Times New Roman" w:hAnsi="Times New Roman"/>
          <w:i/>
          <w:lang w:val="en-US"/>
        </w:rPr>
        <w:t xml:space="preserve">ć </w:t>
      </w:r>
      <w:r w:rsidRPr="00E549ED">
        <w:rPr>
          <w:rFonts w:ascii="Times New Roman" w:hAnsi="Times New Roman"/>
          <w:lang w:val="en-US"/>
        </w:rPr>
        <w:t xml:space="preserve">and the Trial Chamber judgment in </w:t>
      </w:r>
      <w:r w:rsidRPr="00E549ED">
        <w:rPr>
          <w:rFonts w:ascii="Times New Roman" w:hAnsi="Times New Roman"/>
          <w:i/>
        </w:rPr>
        <w:t xml:space="preserve">Prosecutor v. </w:t>
      </w:r>
      <w:proofErr w:type="spellStart"/>
      <w:r w:rsidRPr="00E549ED">
        <w:rPr>
          <w:rFonts w:ascii="Times New Roman" w:hAnsi="Times New Roman"/>
          <w:i/>
        </w:rPr>
        <w:t>Popovi</w:t>
      </w:r>
      <w:proofErr w:type="spellEnd"/>
      <w:r w:rsidRPr="00E549ED">
        <w:rPr>
          <w:rFonts w:ascii="Times New Roman" w:hAnsi="Times New Roman"/>
          <w:i/>
          <w:lang w:val="en-US"/>
        </w:rPr>
        <w:t xml:space="preserve">ć </w:t>
      </w:r>
      <w:r w:rsidRPr="00E549ED">
        <w:rPr>
          <w:rFonts w:ascii="Times New Roman" w:hAnsi="Times New Roman"/>
          <w:lang w:val="en-US"/>
        </w:rPr>
        <w:t>et al.</w:t>
      </w:r>
      <w:r w:rsidRPr="00E549ED">
        <w:rPr>
          <w:rFonts w:ascii="Times New Roman" w:hAnsi="Times New Roman"/>
        </w:rPr>
        <w:t xml:space="preserve">, the Trial Chamber said this established ‘that forcible transfer does not constitute in and of itself a </w:t>
      </w:r>
      <w:proofErr w:type="spellStart"/>
      <w:r w:rsidRPr="00E549ED">
        <w:rPr>
          <w:rFonts w:ascii="Times New Roman" w:hAnsi="Times New Roman"/>
        </w:rPr>
        <w:t>genocidal</w:t>
      </w:r>
      <w:proofErr w:type="spellEnd"/>
      <w:r w:rsidRPr="00E549ED">
        <w:rPr>
          <w:rFonts w:ascii="Times New Roman" w:hAnsi="Times New Roman"/>
        </w:rPr>
        <w:t xml:space="preserve"> act, but where attended by such circumstances as to lead to the death of the whole or part of the displaced population, it may be considered an underlying offence that causes serious bodily or mental harm’.</w:t>
      </w:r>
      <w:r w:rsidRPr="00B71673">
        <w:rPr>
          <w:rStyle w:val="FootnoteReference"/>
          <w:rFonts w:ascii="Times New Roman" w:hAnsi="Times New Roman"/>
        </w:rPr>
        <w:footnoteReference w:id="84"/>
      </w:r>
      <w:r w:rsidRPr="00E549ED">
        <w:rPr>
          <w:rFonts w:ascii="Times New Roman" w:hAnsi="Times New Roman"/>
        </w:rPr>
        <w:t xml:space="preserve"> It said the Chamber had not ‘heard evidence which rises to the level which could sustain a conclusion that the serious bodily or mental harm suffered by those forcibly transferred in the municipalities was attended by such circumstances as to lead to the death of the whole or part of the displaced population for the purposes of the </w:t>
      </w:r>
      <w:proofErr w:type="spellStart"/>
      <w:r w:rsidRPr="00E549ED">
        <w:rPr>
          <w:rFonts w:ascii="Times New Roman" w:hAnsi="Times New Roman"/>
        </w:rPr>
        <w:t>actus</w:t>
      </w:r>
      <w:proofErr w:type="spellEnd"/>
      <w:r w:rsidRPr="00E549ED">
        <w:rPr>
          <w:rFonts w:ascii="Times New Roman" w:hAnsi="Times New Roman"/>
        </w:rPr>
        <w:t xml:space="preserve"> </w:t>
      </w:r>
      <w:proofErr w:type="spellStart"/>
      <w:r w:rsidRPr="00E549ED">
        <w:rPr>
          <w:rFonts w:ascii="Times New Roman" w:hAnsi="Times New Roman"/>
        </w:rPr>
        <w:t>reus</w:t>
      </w:r>
      <w:proofErr w:type="spellEnd"/>
      <w:r w:rsidRPr="00E549ED">
        <w:rPr>
          <w:rFonts w:ascii="Times New Roman" w:hAnsi="Times New Roman"/>
        </w:rPr>
        <w:t xml:space="preserve"> for genocide’.</w:t>
      </w:r>
      <w:r w:rsidRPr="00B71673">
        <w:rPr>
          <w:rStyle w:val="FootnoteReference"/>
          <w:rFonts w:ascii="Times New Roman" w:hAnsi="Times New Roman"/>
        </w:rPr>
        <w:footnoteReference w:id="85"/>
      </w:r>
    </w:p>
    <w:p w14:paraId="78381664" w14:textId="1A0BD6DA" w:rsidR="00013B42" w:rsidRPr="00E549ED" w:rsidRDefault="00013B42" w:rsidP="00073371">
      <w:pPr>
        <w:widowControl w:val="0"/>
        <w:autoSpaceDE w:val="0"/>
        <w:autoSpaceDN w:val="0"/>
        <w:adjustRightInd w:val="0"/>
        <w:spacing w:line="360" w:lineRule="auto"/>
        <w:ind w:firstLine="720"/>
        <w:jc w:val="both"/>
        <w:rPr>
          <w:rStyle w:val="FootnoteReference"/>
          <w:rFonts w:ascii="Times New Roman" w:hAnsi="Times New Roman"/>
          <w:vertAlign w:val="baseline"/>
        </w:rPr>
      </w:pPr>
      <w:r w:rsidRPr="00E549ED">
        <w:rPr>
          <w:rFonts w:ascii="Times New Roman" w:hAnsi="Times New Roman"/>
        </w:rPr>
        <w:t>With respect to the third punishable act listed in article 2 of the Convention, the Trial Chamber said that in assessing ‘whether conditions of life imposed on the targeted group were calculated to bring about its physical destruction, the Chamber has to focus on the objective probability of these conditions leading to the physical destruction of the group in part and must assess factors like the nature of the conditions imposed, the length of time that members of the group were subjected to that, and characteristics of the targeted group such as vulnerability’.</w:t>
      </w:r>
      <w:r w:rsidRPr="00B71673">
        <w:rPr>
          <w:rStyle w:val="FootnoteReference"/>
          <w:rFonts w:ascii="Times New Roman" w:hAnsi="Times New Roman"/>
        </w:rPr>
        <w:footnoteReference w:id="86"/>
      </w:r>
      <w:r w:rsidRPr="00E549ED">
        <w:rPr>
          <w:rFonts w:ascii="Times New Roman" w:hAnsi="Times New Roman"/>
        </w:rPr>
        <w:t xml:space="preserve"> It said that proof that the result was actually achieved was not required in order to sustain a conviction.</w:t>
      </w:r>
      <w:r w:rsidRPr="00E549ED">
        <w:rPr>
          <w:rStyle w:val="FootnoteReference"/>
          <w:rFonts w:ascii="Times New Roman" w:hAnsi="Times New Roman"/>
        </w:rPr>
        <w:t xml:space="preserve"> </w:t>
      </w:r>
      <w:r w:rsidRPr="00B71673">
        <w:rPr>
          <w:rStyle w:val="FootnoteReference"/>
          <w:rFonts w:ascii="Times New Roman" w:hAnsi="Times New Roman"/>
        </w:rPr>
        <w:footnoteReference w:id="87"/>
      </w:r>
    </w:p>
    <w:p w14:paraId="1ABFE674" w14:textId="77777777" w:rsidR="00013B42" w:rsidRPr="00E549ED" w:rsidRDefault="00013B42" w:rsidP="00387B1A">
      <w:pPr>
        <w:widowControl w:val="0"/>
        <w:autoSpaceDE w:val="0"/>
        <w:autoSpaceDN w:val="0"/>
        <w:adjustRightInd w:val="0"/>
        <w:spacing w:line="360" w:lineRule="auto"/>
        <w:ind w:firstLine="720"/>
        <w:jc w:val="both"/>
        <w:rPr>
          <w:rFonts w:ascii="Times New Roman" w:hAnsi="Times New Roman"/>
        </w:rPr>
      </w:pPr>
      <w:r w:rsidRPr="00E549ED">
        <w:rPr>
          <w:rFonts w:ascii="Times New Roman" w:hAnsi="Times New Roman"/>
        </w:rPr>
        <w:t xml:space="preserve">Speaking of the issue of </w:t>
      </w:r>
      <w:proofErr w:type="spellStart"/>
      <w:r w:rsidRPr="00E549ED">
        <w:rPr>
          <w:rFonts w:ascii="Times New Roman" w:hAnsi="Times New Roman"/>
        </w:rPr>
        <w:t>genocidal</w:t>
      </w:r>
      <w:proofErr w:type="spellEnd"/>
      <w:r w:rsidRPr="00E549ED">
        <w:rPr>
          <w:rFonts w:ascii="Times New Roman" w:hAnsi="Times New Roman"/>
        </w:rPr>
        <w:t xml:space="preserve"> intent, the Trial Chamber said:</w:t>
      </w:r>
    </w:p>
    <w:p w14:paraId="4EF8A7D0" w14:textId="77777777" w:rsidR="00013B42" w:rsidRPr="00B71673" w:rsidRDefault="00013B42" w:rsidP="00C848F4">
      <w:pPr>
        <w:pStyle w:val="PlainText"/>
        <w:spacing w:line="360" w:lineRule="auto"/>
        <w:jc w:val="both"/>
        <w:rPr>
          <w:rFonts w:ascii="Times New Roman" w:hAnsi="Times New Roman" w:cs="Times New Roman"/>
          <w:sz w:val="24"/>
          <w:szCs w:val="24"/>
        </w:rPr>
      </w:pPr>
    </w:p>
    <w:p w14:paraId="344AAED4" w14:textId="77777777" w:rsidR="00013B42" w:rsidRPr="00427F8D" w:rsidRDefault="00013B42" w:rsidP="00C848F4">
      <w:pPr>
        <w:pStyle w:val="PlainText"/>
        <w:jc w:val="both"/>
        <w:rPr>
          <w:rFonts w:ascii="Times New Roman" w:hAnsi="Times New Roman" w:cs="Times New Roman"/>
          <w:sz w:val="20"/>
          <w:szCs w:val="20"/>
        </w:rPr>
      </w:pPr>
      <w:r w:rsidRPr="00427F8D">
        <w:rPr>
          <w:rFonts w:ascii="Times New Roman" w:hAnsi="Times New Roman" w:cs="Times New Roman"/>
          <w:sz w:val="20"/>
          <w:szCs w:val="20"/>
        </w:rPr>
        <w:t>[</w:t>
      </w:r>
      <w:proofErr w:type="gramStart"/>
      <w:r w:rsidRPr="00427F8D">
        <w:rPr>
          <w:rFonts w:ascii="Times New Roman" w:hAnsi="Times New Roman" w:cs="Times New Roman"/>
          <w:sz w:val="20"/>
          <w:szCs w:val="20"/>
        </w:rPr>
        <w:t>I]n</w:t>
      </w:r>
      <w:proofErr w:type="gramEnd"/>
      <w:r w:rsidRPr="00427F8D">
        <w:rPr>
          <w:rFonts w:ascii="Times New Roman" w:hAnsi="Times New Roman" w:cs="Times New Roman"/>
          <w:sz w:val="20"/>
          <w:szCs w:val="20"/>
        </w:rPr>
        <w:t xml:space="preserve"> the absence of direct evidence that the physical perpetrators of the crimes alleged to have been committed in the municipalities carried out these crimes with genocidal intent, the Chamber can infer specific intent from a number of factors and circumstances, including the general context of the case, the means available to the perpetrator, the surrounding circumstances, the perpetration of other culpable acts systematically directed against the same group, the numerical scale of atrocities committed, the repetition of destructive and discriminatory acts, the derogatory language targeting the protected group, or the existence of a plan or policy to commit the underlying offence.</w:t>
      </w:r>
      <w:r w:rsidRPr="00427F8D">
        <w:rPr>
          <w:rStyle w:val="FootnoteReference"/>
          <w:rFonts w:ascii="Times New Roman" w:hAnsi="Times New Roman"/>
          <w:sz w:val="20"/>
          <w:szCs w:val="20"/>
        </w:rPr>
        <w:footnoteReference w:id="88"/>
      </w:r>
      <w:r w:rsidRPr="00427F8D">
        <w:rPr>
          <w:rFonts w:ascii="Times New Roman" w:hAnsi="Times New Roman" w:cs="Times New Roman"/>
          <w:sz w:val="20"/>
          <w:szCs w:val="20"/>
        </w:rPr>
        <w:t xml:space="preserve"> </w:t>
      </w:r>
    </w:p>
    <w:p w14:paraId="3021D3CF" w14:textId="77777777" w:rsidR="00013B42" w:rsidRPr="00B71673" w:rsidRDefault="00013B42" w:rsidP="00C848F4">
      <w:pPr>
        <w:pStyle w:val="PlainText"/>
        <w:spacing w:line="360" w:lineRule="auto"/>
        <w:jc w:val="both"/>
        <w:rPr>
          <w:rFonts w:ascii="Times New Roman" w:hAnsi="Times New Roman" w:cs="Times New Roman"/>
          <w:sz w:val="24"/>
          <w:szCs w:val="24"/>
        </w:rPr>
      </w:pPr>
    </w:p>
    <w:p w14:paraId="1CC7690B" w14:textId="77777777" w:rsidR="00013B42" w:rsidRPr="00B71673" w:rsidRDefault="00013B42" w:rsidP="00C848F4">
      <w:pPr>
        <w:pStyle w:val="PlainText"/>
        <w:spacing w:line="360" w:lineRule="auto"/>
        <w:jc w:val="both"/>
        <w:rPr>
          <w:rFonts w:ascii="Times New Roman" w:hAnsi="Times New Roman" w:cs="Times New Roman"/>
          <w:sz w:val="24"/>
          <w:szCs w:val="24"/>
        </w:rPr>
      </w:pPr>
      <w:r w:rsidRPr="00B71673">
        <w:rPr>
          <w:rFonts w:ascii="Times New Roman" w:hAnsi="Times New Roman" w:cs="Times New Roman"/>
          <w:sz w:val="24"/>
          <w:szCs w:val="24"/>
        </w:rPr>
        <w:t xml:space="preserve">The Trial Chamber concluded that ‘there is no evidence that these actions reached a level from which a reasonable trier of fact could draw an inference that they were committed with an intent to destroy in whole or in part the Bosnian Muslims and/or </w:t>
      </w:r>
      <w:r w:rsidRPr="00B71673">
        <w:rPr>
          <w:rFonts w:ascii="Times New Roman" w:hAnsi="Times New Roman" w:cs="Times New Roman"/>
          <w:sz w:val="24"/>
          <w:szCs w:val="24"/>
        </w:rPr>
        <w:lastRenderedPageBreak/>
        <w:t>Bosnian Croats as such’.</w:t>
      </w:r>
      <w:r w:rsidRPr="00B71673">
        <w:rPr>
          <w:rStyle w:val="FootnoteReference"/>
          <w:rFonts w:ascii="Times New Roman" w:hAnsi="Times New Roman"/>
          <w:sz w:val="24"/>
          <w:szCs w:val="24"/>
        </w:rPr>
        <w:t xml:space="preserve"> </w:t>
      </w:r>
      <w:r w:rsidRPr="00B71673">
        <w:rPr>
          <w:rStyle w:val="FootnoteReference"/>
          <w:rFonts w:ascii="Times New Roman" w:hAnsi="Times New Roman"/>
          <w:sz w:val="24"/>
          <w:szCs w:val="24"/>
        </w:rPr>
        <w:footnoteReference w:id="89"/>
      </w:r>
      <w:r w:rsidRPr="00B71673">
        <w:rPr>
          <w:rFonts w:ascii="Times New Roman" w:hAnsi="Times New Roman" w:cs="Times New Roman"/>
          <w:sz w:val="24"/>
          <w:szCs w:val="24"/>
        </w:rPr>
        <w:t xml:space="preserve"> It noted in this respect evidence produced by the Prosecution of statements and speeches by the accused and others that allegedly contained ‘rhetorical warning of the disappearance, elimination, annihilation or extinction of Bosnian Muslims in the event that war broke out’.</w:t>
      </w:r>
      <w:r w:rsidRPr="00B71673">
        <w:rPr>
          <w:rStyle w:val="FootnoteReference"/>
          <w:rFonts w:ascii="Times New Roman" w:hAnsi="Times New Roman"/>
          <w:sz w:val="24"/>
          <w:szCs w:val="24"/>
        </w:rPr>
        <w:t xml:space="preserve"> </w:t>
      </w:r>
      <w:r w:rsidRPr="00B71673">
        <w:rPr>
          <w:rStyle w:val="FootnoteReference"/>
          <w:rFonts w:ascii="Times New Roman" w:hAnsi="Times New Roman"/>
          <w:sz w:val="24"/>
          <w:szCs w:val="24"/>
        </w:rPr>
        <w:footnoteReference w:id="90"/>
      </w:r>
      <w:r w:rsidRPr="00B71673">
        <w:rPr>
          <w:rFonts w:ascii="Times New Roman" w:hAnsi="Times New Roman" w:cs="Times New Roman"/>
          <w:sz w:val="24"/>
          <w:szCs w:val="24"/>
        </w:rPr>
        <w:t xml:space="preserve"> It did not consider that such evidence could change its assessment in any respect.</w:t>
      </w:r>
    </w:p>
    <w:p w14:paraId="2915915B" w14:textId="50C4285B" w:rsidR="00013B42" w:rsidRPr="00E549ED" w:rsidRDefault="00013B42" w:rsidP="00387B1A">
      <w:pPr>
        <w:widowControl w:val="0"/>
        <w:autoSpaceDE w:val="0"/>
        <w:autoSpaceDN w:val="0"/>
        <w:adjustRightInd w:val="0"/>
        <w:spacing w:line="360" w:lineRule="auto"/>
        <w:ind w:firstLine="720"/>
        <w:jc w:val="both"/>
        <w:rPr>
          <w:rFonts w:ascii="Times New Roman" w:hAnsi="Times New Roman"/>
          <w:lang w:val="en-US"/>
        </w:rPr>
      </w:pPr>
      <w:r w:rsidRPr="00E549ED">
        <w:rPr>
          <w:rFonts w:ascii="Times New Roman" w:hAnsi="Times New Roman"/>
          <w:lang w:val="en-US"/>
        </w:rPr>
        <w:t>The Prosecutor appealed the acquittal on the charge of genocide and, on 11 July 2013, the Appeals Chamber ordered that it be reinstated.</w:t>
      </w:r>
      <w:r w:rsidRPr="00B71673">
        <w:rPr>
          <w:rStyle w:val="FootnoteReference"/>
          <w:rFonts w:ascii="Times New Roman" w:hAnsi="Times New Roman"/>
          <w:lang w:val="en-US"/>
        </w:rPr>
        <w:footnoteReference w:id="91"/>
      </w:r>
      <w:r w:rsidRPr="00E549ED">
        <w:rPr>
          <w:rFonts w:ascii="Times New Roman" w:hAnsi="Times New Roman"/>
          <w:lang w:val="en-US"/>
        </w:rPr>
        <w:t xml:space="preserve"> </w:t>
      </w:r>
      <w:r w:rsidR="00956827" w:rsidRPr="00E549ED">
        <w:rPr>
          <w:rFonts w:ascii="Times New Roman" w:hAnsi="Times New Roman"/>
          <w:lang w:val="en-US"/>
        </w:rPr>
        <w:t xml:space="preserve">In other words, the </w:t>
      </w:r>
      <w:proofErr w:type="spellStart"/>
      <w:r w:rsidR="00956827" w:rsidRPr="00E549ED">
        <w:rPr>
          <w:rFonts w:ascii="Times New Roman" w:hAnsi="Times New Roman"/>
          <w:lang w:val="en-US"/>
        </w:rPr>
        <w:t>defence</w:t>
      </w:r>
      <w:proofErr w:type="spellEnd"/>
      <w:r w:rsidR="00956827" w:rsidRPr="00E549ED">
        <w:rPr>
          <w:rFonts w:ascii="Times New Roman" w:hAnsi="Times New Roman"/>
          <w:lang w:val="en-US"/>
        </w:rPr>
        <w:t xml:space="preserve"> </w:t>
      </w:r>
      <w:r w:rsidR="00387B1A">
        <w:rPr>
          <w:rFonts w:ascii="Times New Roman" w:hAnsi="Times New Roman"/>
          <w:lang w:val="en-US"/>
        </w:rPr>
        <w:t>had</w:t>
      </w:r>
      <w:r w:rsidR="00956827" w:rsidRPr="00E549ED">
        <w:rPr>
          <w:rFonts w:ascii="Times New Roman" w:hAnsi="Times New Roman"/>
          <w:lang w:val="en-US"/>
        </w:rPr>
        <w:t xml:space="preserve"> a case to answer on the point. </w:t>
      </w:r>
      <w:r w:rsidRPr="00E549ED">
        <w:rPr>
          <w:rFonts w:ascii="Times New Roman" w:hAnsi="Times New Roman"/>
          <w:lang w:val="en-US"/>
        </w:rPr>
        <w:t>The Appeals Chamber considered the Trial Chamber decision by first examining the findings with respect to evidence of the three punishable acts of genocide that were at issue. Like the Trial Chamber, it insisted it was not bound by the factual findings and evidentiary assessments in earlier decisions of the Tribunal or by the ruling of the ICJ.</w:t>
      </w:r>
      <w:r w:rsidRPr="00B71673">
        <w:rPr>
          <w:rStyle w:val="FootnoteReference"/>
          <w:rFonts w:ascii="Times New Roman" w:hAnsi="Times New Roman"/>
          <w:lang w:val="en-US"/>
        </w:rPr>
        <w:footnoteReference w:id="92"/>
      </w:r>
      <w:r w:rsidRPr="00E549ED">
        <w:rPr>
          <w:rFonts w:ascii="Times New Roman" w:hAnsi="Times New Roman"/>
          <w:lang w:val="en-US"/>
        </w:rPr>
        <w:t xml:space="preserve"> The Appeals Chamber noted that the Trial Chamber had concluded there was evidence that the </w:t>
      </w:r>
      <w:proofErr w:type="spellStart"/>
      <w:r w:rsidRPr="00E549ED">
        <w:rPr>
          <w:rFonts w:ascii="Times New Roman" w:hAnsi="Times New Roman"/>
          <w:lang w:val="en-US"/>
        </w:rPr>
        <w:t>actus</w:t>
      </w:r>
      <w:proofErr w:type="spellEnd"/>
      <w:r w:rsidRPr="00E549ED">
        <w:rPr>
          <w:rFonts w:ascii="Times New Roman" w:hAnsi="Times New Roman"/>
          <w:lang w:val="en-US"/>
        </w:rPr>
        <w:t xml:space="preserve"> </w:t>
      </w:r>
      <w:proofErr w:type="spellStart"/>
      <w:proofErr w:type="gramStart"/>
      <w:r w:rsidRPr="00E549ED">
        <w:rPr>
          <w:rFonts w:ascii="Times New Roman" w:hAnsi="Times New Roman"/>
          <w:lang w:val="en-US"/>
        </w:rPr>
        <w:t>reus</w:t>
      </w:r>
      <w:proofErr w:type="spellEnd"/>
      <w:proofErr w:type="gramEnd"/>
      <w:r w:rsidRPr="00E549ED">
        <w:rPr>
          <w:rFonts w:ascii="Times New Roman" w:hAnsi="Times New Roman"/>
          <w:lang w:val="en-US"/>
        </w:rPr>
        <w:t xml:space="preserve"> of the genocidal act of killing had been perpetrated.</w:t>
      </w:r>
      <w:r w:rsidRPr="00B71673">
        <w:rPr>
          <w:rStyle w:val="FootnoteReference"/>
          <w:rFonts w:ascii="Times New Roman" w:hAnsi="Times New Roman"/>
          <w:lang w:val="en-US"/>
        </w:rPr>
        <w:footnoteReference w:id="93"/>
      </w:r>
      <w:r w:rsidRPr="00E549ED">
        <w:rPr>
          <w:rFonts w:ascii="Times New Roman" w:hAnsi="Times New Roman"/>
          <w:lang w:val="en-US"/>
        </w:rPr>
        <w:t xml:space="preserve"> Turning to the punishable act of causing serious bodily and mental harm, it referred to evidence of beatings and other forms of physical abuse as well as rapes.</w:t>
      </w:r>
      <w:r w:rsidRPr="00B71673">
        <w:rPr>
          <w:rStyle w:val="FootnoteReference"/>
          <w:rFonts w:ascii="Times New Roman" w:hAnsi="Times New Roman"/>
          <w:lang w:val="en-US"/>
        </w:rPr>
        <w:footnoteReference w:id="94"/>
      </w:r>
      <w:r w:rsidRPr="00E549ED">
        <w:rPr>
          <w:rFonts w:ascii="Times New Roman" w:hAnsi="Times New Roman"/>
          <w:lang w:val="en-US"/>
        </w:rPr>
        <w:t xml:space="preserve"> The Appeals Chamber said that ‘[</w:t>
      </w:r>
      <w:proofErr w:type="gramStart"/>
      <w:r w:rsidRPr="00E549ED">
        <w:rPr>
          <w:rFonts w:ascii="Times New Roman" w:hAnsi="Times New Roman"/>
          <w:lang w:val="en-US"/>
        </w:rPr>
        <w:t>w]</w:t>
      </w:r>
      <w:proofErr w:type="spellStart"/>
      <w:r w:rsidRPr="00E549ED">
        <w:rPr>
          <w:rFonts w:ascii="Times New Roman" w:hAnsi="Times New Roman"/>
          <w:lang w:val="en-US"/>
        </w:rPr>
        <w:t>hile</w:t>
      </w:r>
      <w:proofErr w:type="spellEnd"/>
      <w:proofErr w:type="gramEnd"/>
      <w:r w:rsidRPr="00E549ED">
        <w:rPr>
          <w:rFonts w:ascii="Times New Roman" w:hAnsi="Times New Roman"/>
          <w:lang w:val="en-US"/>
        </w:rPr>
        <w:t xml:space="preserve"> the commission of individual paradigmatic acts does not automatically demonstrate that the </w:t>
      </w:r>
      <w:proofErr w:type="spellStart"/>
      <w:r w:rsidRPr="00E549ED">
        <w:rPr>
          <w:rFonts w:ascii="Times New Roman" w:hAnsi="Times New Roman"/>
          <w:i/>
          <w:iCs/>
          <w:lang w:val="en-US"/>
        </w:rPr>
        <w:t>actus</w:t>
      </w:r>
      <w:proofErr w:type="spellEnd"/>
      <w:r w:rsidRPr="00E549ED">
        <w:rPr>
          <w:rFonts w:ascii="Times New Roman" w:hAnsi="Times New Roman"/>
          <w:i/>
          <w:iCs/>
          <w:lang w:val="en-US"/>
        </w:rPr>
        <w:t xml:space="preserve"> </w:t>
      </w:r>
      <w:proofErr w:type="spellStart"/>
      <w:r w:rsidRPr="00E549ED">
        <w:rPr>
          <w:rFonts w:ascii="Times New Roman" w:hAnsi="Times New Roman"/>
          <w:i/>
          <w:iCs/>
          <w:lang w:val="en-US"/>
        </w:rPr>
        <w:t>reus</w:t>
      </w:r>
      <w:proofErr w:type="spellEnd"/>
      <w:r w:rsidRPr="00E549ED">
        <w:rPr>
          <w:rFonts w:ascii="Times New Roman" w:hAnsi="Times New Roman"/>
          <w:i/>
          <w:iCs/>
          <w:lang w:val="en-US"/>
        </w:rPr>
        <w:t xml:space="preserve"> </w:t>
      </w:r>
      <w:r w:rsidRPr="00E549ED">
        <w:rPr>
          <w:rFonts w:ascii="Times New Roman" w:hAnsi="Times New Roman"/>
          <w:lang w:val="en-US"/>
        </w:rPr>
        <w:t>of genocide has taken place, the Appeals Chamber considers that no reasonable trial chamber reviewing the specific evidence on the record in this case, including evidence of sexual violence and of beatings causing serious physical injuries</w:t>
      </w:r>
      <w:r w:rsidRPr="00E549ED">
        <w:rPr>
          <w:rFonts w:ascii="Times New Roman" w:hAnsi="Times New Roman"/>
        </w:rPr>
        <w:t xml:space="preserve">, </w:t>
      </w:r>
      <w:r w:rsidRPr="00E549ED">
        <w:rPr>
          <w:rFonts w:ascii="Times New Roman" w:hAnsi="Times New Roman"/>
          <w:lang w:val="en-US"/>
        </w:rPr>
        <w:t xml:space="preserve">could have concluded that it was insufficient to establish the </w:t>
      </w:r>
      <w:proofErr w:type="spellStart"/>
      <w:r w:rsidRPr="00E549ED">
        <w:rPr>
          <w:rFonts w:ascii="Times New Roman" w:hAnsi="Times New Roman"/>
          <w:i/>
          <w:iCs/>
          <w:lang w:val="en-US"/>
        </w:rPr>
        <w:t>actus</w:t>
      </w:r>
      <w:proofErr w:type="spellEnd"/>
      <w:r w:rsidRPr="00E549ED">
        <w:rPr>
          <w:rFonts w:ascii="Times New Roman" w:hAnsi="Times New Roman"/>
          <w:i/>
          <w:iCs/>
          <w:lang w:val="en-US"/>
        </w:rPr>
        <w:t xml:space="preserve"> </w:t>
      </w:r>
      <w:proofErr w:type="spellStart"/>
      <w:r w:rsidRPr="00E549ED">
        <w:rPr>
          <w:rFonts w:ascii="Times New Roman" w:hAnsi="Times New Roman"/>
          <w:i/>
          <w:iCs/>
          <w:lang w:val="en-US"/>
        </w:rPr>
        <w:t>reus</w:t>
      </w:r>
      <w:proofErr w:type="spellEnd"/>
      <w:r w:rsidRPr="00E549ED">
        <w:rPr>
          <w:rFonts w:ascii="Times New Roman" w:hAnsi="Times New Roman"/>
          <w:i/>
          <w:iCs/>
        </w:rPr>
        <w:t xml:space="preserve"> </w:t>
      </w:r>
      <w:r w:rsidRPr="00E549ED">
        <w:rPr>
          <w:rFonts w:ascii="Times New Roman" w:hAnsi="Times New Roman"/>
          <w:iCs/>
        </w:rPr>
        <w:t>o</w:t>
      </w:r>
      <w:r w:rsidRPr="00E549ED">
        <w:rPr>
          <w:rFonts w:ascii="Times New Roman" w:hAnsi="Times New Roman"/>
          <w:lang w:val="en-US"/>
        </w:rPr>
        <w:t xml:space="preserve">f genocide in the context of Rule 98 </w:t>
      </w:r>
      <w:proofErr w:type="spellStart"/>
      <w:r w:rsidRPr="00E549ED">
        <w:rPr>
          <w:rFonts w:ascii="Times New Roman" w:hAnsi="Times New Roman"/>
          <w:i/>
          <w:iCs/>
          <w:lang w:val="en-US"/>
        </w:rPr>
        <w:t>bis</w:t>
      </w:r>
      <w:proofErr w:type="spellEnd"/>
      <w:r w:rsidRPr="00E549ED">
        <w:rPr>
          <w:rFonts w:ascii="Times New Roman" w:hAnsi="Times New Roman"/>
          <w:i/>
          <w:iCs/>
          <w:lang w:val="en-US"/>
        </w:rPr>
        <w:t xml:space="preserve"> </w:t>
      </w:r>
      <w:r w:rsidRPr="00E549ED">
        <w:rPr>
          <w:rFonts w:ascii="Times New Roman" w:hAnsi="Times New Roman"/>
          <w:lang w:val="en-US"/>
        </w:rPr>
        <w:t>of the Rules’.</w:t>
      </w:r>
      <w:r w:rsidRPr="00F51ADB">
        <w:rPr>
          <w:rStyle w:val="FootnoteReference"/>
          <w:rFonts w:ascii="Times New Roman" w:hAnsi="Times New Roman"/>
          <w:lang w:val="en-US"/>
        </w:rPr>
        <w:footnoteReference w:id="95"/>
      </w:r>
      <w:r w:rsidRPr="00E549ED">
        <w:rPr>
          <w:rFonts w:ascii="Times New Roman" w:hAnsi="Times New Roman"/>
          <w:lang w:val="en-US"/>
        </w:rPr>
        <w:t xml:space="preserve"> The Appeals Chamber reached a similar conclusion with respect to the third act of genocide, citing evidence of deprivation of food and other harsh conditions of detention.</w:t>
      </w:r>
      <w:r w:rsidRPr="00B71673">
        <w:rPr>
          <w:rStyle w:val="FootnoteReference"/>
          <w:rFonts w:ascii="Times New Roman" w:hAnsi="Times New Roman"/>
          <w:lang w:val="en-US"/>
        </w:rPr>
        <w:footnoteReference w:id="96"/>
      </w:r>
    </w:p>
    <w:p w14:paraId="2B4507E0" w14:textId="77777777" w:rsidR="00AE5480" w:rsidRDefault="00013B42" w:rsidP="00225931">
      <w:pPr>
        <w:widowControl w:val="0"/>
        <w:autoSpaceDE w:val="0"/>
        <w:autoSpaceDN w:val="0"/>
        <w:adjustRightInd w:val="0"/>
        <w:spacing w:line="360" w:lineRule="auto"/>
        <w:ind w:firstLine="720"/>
        <w:jc w:val="both"/>
        <w:rPr>
          <w:rFonts w:ascii="Times New Roman" w:hAnsi="Times New Roman"/>
          <w:lang w:val="en-US"/>
        </w:rPr>
      </w:pPr>
      <w:r w:rsidRPr="00E549ED">
        <w:rPr>
          <w:rFonts w:ascii="Times New Roman" w:hAnsi="Times New Roman"/>
          <w:lang w:val="en-US"/>
        </w:rPr>
        <w:lastRenderedPageBreak/>
        <w:t>Having concluded that there was evidence of the three physical acts of genocide charged in the indictment, the Appeals Chamber then turned to the issue of evidence of genocidal intent. Citing an earlier ruling of the Appeals Chamber, in which it had upheld the dismissal of a genocide charge with respect to the municipalities</w:t>
      </w:r>
      <w:r w:rsidRPr="00B71673">
        <w:rPr>
          <w:rStyle w:val="FootnoteReference"/>
          <w:rFonts w:ascii="Times New Roman" w:hAnsi="Times New Roman"/>
          <w:lang w:val="en-US"/>
        </w:rPr>
        <w:footnoteReference w:id="97"/>
      </w:r>
      <w:r w:rsidRPr="00E549ED">
        <w:rPr>
          <w:rFonts w:ascii="Times New Roman" w:hAnsi="Times New Roman"/>
          <w:lang w:val="en-US"/>
        </w:rPr>
        <w:t xml:space="preserve"> the Appeals Chamber noted the Prosecutor’s criticism of the Trial Chamber ruling for having ‘</w:t>
      </w:r>
      <w:proofErr w:type="spellStart"/>
      <w:r w:rsidRPr="00E549ED">
        <w:rPr>
          <w:rFonts w:ascii="Times New Roman" w:hAnsi="Times New Roman"/>
          <w:lang w:val="en-US"/>
        </w:rPr>
        <w:t>compartmentalised</w:t>
      </w:r>
      <w:proofErr w:type="spellEnd"/>
      <w:r w:rsidRPr="00E549ED">
        <w:rPr>
          <w:rFonts w:ascii="Times New Roman" w:hAnsi="Times New Roman"/>
          <w:lang w:val="en-US"/>
        </w:rPr>
        <w:t>’ the analysis, but dismissed this ground after considering the reasoning of the Trial Chamber.</w:t>
      </w:r>
      <w:r w:rsidRPr="00B71673">
        <w:rPr>
          <w:rStyle w:val="FootnoteReference"/>
          <w:rFonts w:ascii="Times New Roman" w:hAnsi="Times New Roman"/>
          <w:lang w:val="en-US"/>
        </w:rPr>
        <w:footnoteReference w:id="98"/>
      </w:r>
      <w:r w:rsidRPr="00E549ED">
        <w:rPr>
          <w:rFonts w:ascii="Times New Roman" w:hAnsi="Times New Roman"/>
          <w:lang w:val="en-US"/>
        </w:rPr>
        <w:t xml:space="preserve"> The Appeals Chamber said that ‘in the context of assessing evidence of genocidal intent, a </w:t>
      </w:r>
      <w:proofErr w:type="spellStart"/>
      <w:r w:rsidRPr="00E549ED">
        <w:rPr>
          <w:rFonts w:ascii="Times New Roman" w:hAnsi="Times New Roman"/>
          <w:lang w:val="en-US"/>
        </w:rPr>
        <w:t>compartmentalised</w:t>
      </w:r>
      <w:proofErr w:type="spellEnd"/>
      <w:r w:rsidRPr="00E549ED">
        <w:rPr>
          <w:rFonts w:ascii="Times New Roman" w:hAnsi="Times New Roman"/>
          <w:lang w:val="en-US"/>
        </w:rPr>
        <w:t xml:space="preserve"> mode of analysis may obscure the proper inquiry’.</w:t>
      </w:r>
      <w:r w:rsidRPr="00B71673">
        <w:rPr>
          <w:rStyle w:val="FootnoteReference"/>
          <w:rFonts w:ascii="Times New Roman" w:hAnsi="Times New Roman"/>
          <w:lang w:val="en-US"/>
        </w:rPr>
        <w:footnoteReference w:id="99"/>
      </w:r>
      <w:r w:rsidRPr="00E549ED">
        <w:rPr>
          <w:rFonts w:ascii="Times New Roman" w:hAnsi="Times New Roman"/>
          <w:lang w:val="en-US"/>
        </w:rPr>
        <w:t xml:space="preserve"> It said that instead of ‘considering separately whether an accused intended to destroy a protected group through each of the relevant genocidal acts, a trial chamber should consider whether all of the evidence, taken together, demonstrates a genocidal mental state’.</w:t>
      </w:r>
      <w:r w:rsidRPr="00B71673">
        <w:rPr>
          <w:rStyle w:val="FootnoteReference"/>
          <w:rFonts w:ascii="Times New Roman" w:hAnsi="Times New Roman"/>
          <w:lang w:val="en-US"/>
        </w:rPr>
        <w:footnoteReference w:id="100"/>
      </w:r>
    </w:p>
    <w:p w14:paraId="7B224EC5" w14:textId="77777777" w:rsidR="00AE5480" w:rsidRDefault="00013B42" w:rsidP="00AE5480">
      <w:pPr>
        <w:widowControl w:val="0"/>
        <w:autoSpaceDE w:val="0"/>
        <w:autoSpaceDN w:val="0"/>
        <w:adjustRightInd w:val="0"/>
        <w:spacing w:line="360" w:lineRule="auto"/>
        <w:ind w:firstLine="720"/>
        <w:jc w:val="both"/>
        <w:rPr>
          <w:rFonts w:ascii="Times New Roman" w:hAnsi="Times New Roman"/>
          <w:lang w:val="en-US"/>
        </w:rPr>
      </w:pPr>
      <w:r w:rsidRPr="00E549ED">
        <w:rPr>
          <w:rFonts w:ascii="Times New Roman" w:hAnsi="Times New Roman"/>
          <w:lang w:val="en-US"/>
        </w:rPr>
        <w:t xml:space="preserve">Under the heading ‘The substantiality of the Groups’, the Appeals Chamber considered the pronouncement by the Trial Chamber that the evidence, taken at its highest, ‘[did] not reach the level from which a reasonable trier of fact could infer that </w:t>
      </w:r>
      <w:r w:rsidRPr="00E549ED">
        <w:rPr>
          <w:rFonts w:ascii="Times New Roman" w:hAnsi="Times New Roman"/>
          <w:i/>
          <w:iCs/>
          <w:lang w:val="en-US"/>
        </w:rPr>
        <w:t xml:space="preserve">a significant section of the Bosnian Muslim and/or Bosnian Croat groups </w:t>
      </w:r>
      <w:r w:rsidRPr="00E549ED">
        <w:rPr>
          <w:rFonts w:ascii="Times New Roman" w:hAnsi="Times New Roman"/>
          <w:lang w:val="en-US"/>
        </w:rPr>
        <w:t xml:space="preserve">and </w:t>
      </w:r>
      <w:r w:rsidRPr="00E549ED">
        <w:rPr>
          <w:rFonts w:ascii="Times New Roman" w:hAnsi="Times New Roman"/>
          <w:i/>
          <w:iCs/>
          <w:lang w:val="en-US"/>
        </w:rPr>
        <w:t xml:space="preserve">a substantial number of members of these groups </w:t>
      </w:r>
      <w:r w:rsidRPr="00E549ED">
        <w:rPr>
          <w:rFonts w:ascii="Times New Roman" w:hAnsi="Times New Roman"/>
          <w:lang w:val="en-US"/>
        </w:rPr>
        <w:t>were targeted for destruction so as to have an impact on the existence of the Bosnian Muslims and/or Bosnian Croats as such’.</w:t>
      </w:r>
      <w:r w:rsidRPr="00B71673">
        <w:rPr>
          <w:rStyle w:val="FootnoteReference"/>
          <w:rFonts w:ascii="Times New Roman" w:hAnsi="Times New Roman"/>
          <w:lang w:val="en-US"/>
        </w:rPr>
        <w:footnoteReference w:id="101"/>
      </w:r>
      <w:r w:rsidRPr="00E549ED">
        <w:rPr>
          <w:rFonts w:ascii="Times New Roman" w:hAnsi="Times New Roman"/>
          <w:lang w:val="en-US"/>
        </w:rPr>
        <w:t xml:space="preserve"> The Appeals Chamber dismissed the objection to this statement made by the Prosecutor.</w:t>
      </w:r>
      <w:r w:rsidRPr="00B71673">
        <w:rPr>
          <w:rStyle w:val="FootnoteReference"/>
          <w:rFonts w:ascii="Times New Roman" w:hAnsi="Times New Roman"/>
          <w:lang w:val="en-US"/>
        </w:rPr>
        <w:footnoteReference w:id="102"/>
      </w:r>
      <w:r w:rsidRPr="00E549ED">
        <w:rPr>
          <w:rFonts w:ascii="Times New Roman" w:hAnsi="Times New Roman"/>
          <w:lang w:val="en-US"/>
        </w:rPr>
        <w:t xml:space="preserve"> It also considered issues relating to the relationship of the accused to the alleged joint criminal enterprise. There is no need here to develop its reasoning because this concerns the matter of individual liability strictly, and does not bear on State responsibility at all. In any case, the Tribunal did not find that there was reviewable error by the Trial Chamber in this respect.</w:t>
      </w:r>
      <w:r w:rsidRPr="00B71673">
        <w:rPr>
          <w:rStyle w:val="FootnoteReference"/>
          <w:rFonts w:ascii="Times New Roman" w:hAnsi="Times New Roman"/>
          <w:lang w:val="en-US"/>
        </w:rPr>
        <w:footnoteReference w:id="103"/>
      </w:r>
    </w:p>
    <w:p w14:paraId="17412F10" w14:textId="6E34C6B6" w:rsidR="00013B42" w:rsidRPr="00E549ED" w:rsidRDefault="00013B42" w:rsidP="00AE5480">
      <w:pPr>
        <w:widowControl w:val="0"/>
        <w:autoSpaceDE w:val="0"/>
        <w:autoSpaceDN w:val="0"/>
        <w:adjustRightInd w:val="0"/>
        <w:spacing w:line="360" w:lineRule="auto"/>
        <w:ind w:firstLine="720"/>
        <w:jc w:val="both"/>
        <w:rPr>
          <w:rFonts w:ascii="Times New Roman" w:hAnsi="Times New Roman"/>
          <w:lang w:val="en-US"/>
        </w:rPr>
      </w:pPr>
      <w:r w:rsidRPr="00E549ED">
        <w:rPr>
          <w:rFonts w:ascii="Times New Roman" w:hAnsi="Times New Roman"/>
          <w:lang w:val="en-US"/>
        </w:rPr>
        <w:t>The Appeals Chamber also considered the discussion of public statements attributed to the accused and others as evidence of genocidal intent. It found the consideration of this matter by the Trial Chamber to be satisfactory.</w:t>
      </w:r>
      <w:r w:rsidRPr="00B71673">
        <w:rPr>
          <w:rStyle w:val="FootnoteReference"/>
          <w:rFonts w:ascii="Times New Roman" w:hAnsi="Times New Roman"/>
          <w:lang w:val="en-US"/>
        </w:rPr>
        <w:footnoteReference w:id="104"/>
      </w:r>
      <w:r w:rsidRPr="00E549ED">
        <w:rPr>
          <w:rFonts w:ascii="Times New Roman" w:hAnsi="Times New Roman"/>
          <w:lang w:val="en-US"/>
        </w:rPr>
        <w:t xml:space="preserve"> Nevertheless, it found ‘convincing’ the Prosecutor’s argument that genocidal intent might be shown </w:t>
      </w:r>
      <w:r w:rsidRPr="00E549ED">
        <w:rPr>
          <w:rFonts w:ascii="Times New Roman" w:hAnsi="Times New Roman"/>
          <w:lang w:val="en-US"/>
        </w:rPr>
        <w:lastRenderedPageBreak/>
        <w:t>by evidence of meetings with the accused.</w:t>
      </w:r>
      <w:r w:rsidRPr="00B71673">
        <w:rPr>
          <w:rStyle w:val="FootnoteReference"/>
          <w:rFonts w:ascii="Times New Roman" w:hAnsi="Times New Roman"/>
          <w:lang w:val="en-US"/>
        </w:rPr>
        <w:footnoteReference w:id="105"/>
      </w:r>
      <w:r w:rsidRPr="00E549ED">
        <w:rPr>
          <w:rFonts w:ascii="Times New Roman" w:hAnsi="Times New Roman"/>
          <w:lang w:val="en-US"/>
        </w:rPr>
        <w:t xml:space="preserve"> The Appeals Chamber said that specific intent could be inferred from ‘a number of facts and circumstances, such as the general context, the perpetration of other culpable acts systematically directed against the same group, the scale of atrocities committed, the systematic targeting of victims on account of their membership of a particular group, or the repetition of destructive and discriminatory acts’.</w:t>
      </w:r>
      <w:r w:rsidRPr="00B71673">
        <w:rPr>
          <w:rStyle w:val="FootnoteReference"/>
          <w:rFonts w:ascii="Times New Roman" w:hAnsi="Times New Roman"/>
          <w:lang w:val="en-US"/>
        </w:rPr>
        <w:footnoteReference w:id="106"/>
      </w:r>
    </w:p>
    <w:p w14:paraId="50629793" w14:textId="6ACB97AB" w:rsidR="00D95C67" w:rsidRDefault="00013B42" w:rsidP="00387B1A">
      <w:pPr>
        <w:widowControl w:val="0"/>
        <w:autoSpaceDE w:val="0"/>
        <w:autoSpaceDN w:val="0"/>
        <w:adjustRightInd w:val="0"/>
        <w:spacing w:line="360" w:lineRule="auto"/>
        <w:ind w:firstLine="720"/>
        <w:jc w:val="both"/>
        <w:rPr>
          <w:rFonts w:ascii="Times New Roman" w:hAnsi="Times New Roman"/>
          <w:lang w:val="en-US"/>
        </w:rPr>
      </w:pPr>
      <w:r w:rsidRPr="00E549ED">
        <w:rPr>
          <w:rFonts w:ascii="Times New Roman" w:hAnsi="Times New Roman"/>
          <w:lang w:val="en-US"/>
        </w:rPr>
        <w:t xml:space="preserve">The Appeals Chamber concluded that ‘the evidence on the record, taken at its highest, could indicate that </w:t>
      </w:r>
      <w:proofErr w:type="spellStart"/>
      <w:r w:rsidR="00387B1A" w:rsidRPr="00387B1A">
        <w:rPr>
          <w:rFonts w:ascii="Times New Roman" w:hAnsi="Times New Roman"/>
        </w:rPr>
        <w:t>Karadžić</w:t>
      </w:r>
      <w:proofErr w:type="spellEnd"/>
      <w:r w:rsidRPr="00387B1A">
        <w:rPr>
          <w:rFonts w:ascii="Times New Roman" w:hAnsi="Times New Roman"/>
          <w:lang w:val="en-US"/>
        </w:rPr>
        <w:t xml:space="preserve"> </w:t>
      </w:r>
      <w:r w:rsidRPr="00E549ED">
        <w:rPr>
          <w:rFonts w:ascii="Times New Roman" w:hAnsi="Times New Roman"/>
          <w:lang w:val="en-US"/>
        </w:rPr>
        <w:t>possessed genocidal intent. Other evidence on the record indicates that other alleged members of the [joint criminal enterprise] also possessed such intent’.</w:t>
      </w:r>
      <w:r w:rsidRPr="00B71673">
        <w:rPr>
          <w:rStyle w:val="FootnoteReference"/>
          <w:rFonts w:ascii="Times New Roman" w:hAnsi="Times New Roman"/>
          <w:lang w:val="en-US"/>
        </w:rPr>
        <w:footnoteReference w:id="107"/>
      </w:r>
      <w:r w:rsidRPr="00E549ED">
        <w:rPr>
          <w:rFonts w:ascii="Times New Roman" w:hAnsi="Times New Roman"/>
          <w:lang w:val="en-US"/>
        </w:rPr>
        <w:t xml:space="preserve"> The Appeals Chamber granted the appeal of the Prosecutor on the genocide charge relating to the municipalities.</w:t>
      </w:r>
    </w:p>
    <w:p w14:paraId="230AC373" w14:textId="59E4C82C" w:rsidR="00013B42" w:rsidRPr="00D95C67" w:rsidRDefault="00013B42" w:rsidP="00D95C67">
      <w:pPr>
        <w:widowControl w:val="0"/>
        <w:autoSpaceDE w:val="0"/>
        <w:autoSpaceDN w:val="0"/>
        <w:adjustRightInd w:val="0"/>
        <w:spacing w:line="360" w:lineRule="auto"/>
        <w:ind w:firstLine="720"/>
        <w:jc w:val="both"/>
        <w:rPr>
          <w:rFonts w:ascii="Times New Roman" w:hAnsi="Times New Roman"/>
          <w:lang w:val="en-US"/>
        </w:rPr>
      </w:pPr>
      <w:r w:rsidRPr="00E549ED">
        <w:rPr>
          <w:rFonts w:ascii="Times New Roman" w:hAnsi="Times New Roman"/>
          <w:lang w:val="en-US"/>
        </w:rPr>
        <w:t xml:space="preserve">The significance of this decision could easily be exaggerated and it was certainly misunderstood by many observers of the proceedings. The test that is to be applied for such motions formulated during the trial and before the </w:t>
      </w:r>
      <w:proofErr w:type="spellStart"/>
      <w:r w:rsidRPr="00E549ED">
        <w:rPr>
          <w:rFonts w:ascii="Times New Roman" w:hAnsi="Times New Roman"/>
          <w:lang w:val="en-US"/>
        </w:rPr>
        <w:t>defence</w:t>
      </w:r>
      <w:proofErr w:type="spellEnd"/>
      <w:r w:rsidRPr="00E549ED">
        <w:rPr>
          <w:rFonts w:ascii="Times New Roman" w:hAnsi="Times New Roman"/>
          <w:lang w:val="en-US"/>
        </w:rPr>
        <w:t xml:space="preserve"> has presented its case and evidence is ‘whether there is evidence (if accepted) upon which a reasonable [trier] of fact </w:t>
      </w:r>
      <w:r w:rsidRPr="00E549ED">
        <w:rPr>
          <w:rFonts w:ascii="Times New Roman" w:hAnsi="Times New Roman"/>
          <w:i/>
          <w:iCs/>
          <w:lang w:val="en-US"/>
        </w:rPr>
        <w:t xml:space="preserve">could </w:t>
      </w:r>
      <w:r w:rsidRPr="00E549ED">
        <w:rPr>
          <w:rFonts w:ascii="Times New Roman" w:hAnsi="Times New Roman"/>
          <w:lang w:val="en-US"/>
        </w:rPr>
        <w:t>be satisfied beyond reasonable doubt of the guilt of the accused on the particular charge in question and not whether an accused's guilt has been established beyond reasonable doubt’.</w:t>
      </w:r>
      <w:r w:rsidRPr="003C0CC6">
        <w:rPr>
          <w:rStyle w:val="FootnoteReference"/>
          <w:rFonts w:ascii="Times New Roman" w:hAnsi="Times New Roman"/>
          <w:lang w:val="en-US"/>
        </w:rPr>
        <w:footnoteReference w:id="108"/>
      </w:r>
    </w:p>
    <w:p w14:paraId="24271380" w14:textId="381D4551" w:rsidR="00F152C4" w:rsidRDefault="00013B42" w:rsidP="00F152C4">
      <w:pPr>
        <w:widowControl w:val="0"/>
        <w:autoSpaceDE w:val="0"/>
        <w:autoSpaceDN w:val="0"/>
        <w:adjustRightInd w:val="0"/>
        <w:spacing w:line="360" w:lineRule="auto"/>
        <w:ind w:firstLine="720"/>
        <w:jc w:val="both"/>
        <w:rPr>
          <w:rFonts w:ascii="Times New Roman" w:hAnsi="Times New Roman"/>
          <w:lang w:val="en-US"/>
        </w:rPr>
      </w:pPr>
      <w:r w:rsidRPr="00E549ED">
        <w:rPr>
          <w:rFonts w:ascii="Times New Roman" w:hAnsi="Times New Roman"/>
          <w:lang w:val="en-US"/>
        </w:rPr>
        <w:t xml:space="preserve">In December 2012, a Trial Chamber of the </w:t>
      </w:r>
      <w:r w:rsidR="003C4D19">
        <w:rPr>
          <w:rFonts w:ascii="Times New Roman" w:hAnsi="Times New Roman"/>
          <w:lang w:val="en-US"/>
        </w:rPr>
        <w:t>Yugoslavia Tribunal</w:t>
      </w:r>
      <w:r w:rsidRPr="00E549ED">
        <w:rPr>
          <w:rFonts w:ascii="Times New Roman" w:hAnsi="Times New Roman"/>
          <w:lang w:val="en-US"/>
        </w:rPr>
        <w:t xml:space="preserve"> convicted </w:t>
      </w:r>
      <w:proofErr w:type="spellStart"/>
      <w:r w:rsidRPr="00E549ED">
        <w:rPr>
          <w:rFonts w:ascii="Times New Roman" w:hAnsi="Times New Roman"/>
          <w:lang w:val="en-US"/>
        </w:rPr>
        <w:t>Zdravko</w:t>
      </w:r>
      <w:proofErr w:type="spellEnd"/>
      <w:r w:rsidRPr="00E549ED">
        <w:rPr>
          <w:rFonts w:ascii="Times New Roman" w:hAnsi="Times New Roman"/>
          <w:lang w:val="en-US"/>
        </w:rPr>
        <w:t xml:space="preserve"> </w:t>
      </w:r>
      <w:proofErr w:type="spellStart"/>
      <w:r w:rsidRPr="00E549ED">
        <w:rPr>
          <w:rFonts w:ascii="Times New Roman" w:hAnsi="Times New Roman"/>
          <w:lang w:val="en-US"/>
        </w:rPr>
        <w:t>Tolimir</w:t>
      </w:r>
      <w:proofErr w:type="spellEnd"/>
      <w:r w:rsidRPr="00E549ED">
        <w:rPr>
          <w:rFonts w:ascii="Times New Roman" w:hAnsi="Times New Roman"/>
          <w:lang w:val="en-US"/>
        </w:rPr>
        <w:t xml:space="preserve"> of genocide with respect to crimes perpetrated in Srebrenica in mid-July 1995. It referred to the February 2007 judgment of the </w:t>
      </w:r>
      <w:r w:rsidR="00D95C67">
        <w:rPr>
          <w:rFonts w:ascii="Times New Roman" w:hAnsi="Times New Roman"/>
          <w:lang w:val="en-US"/>
        </w:rPr>
        <w:t>International Court of Justice</w:t>
      </w:r>
      <w:r w:rsidRPr="00E549ED">
        <w:rPr>
          <w:rFonts w:ascii="Times New Roman" w:hAnsi="Times New Roman"/>
          <w:lang w:val="en-US"/>
        </w:rPr>
        <w:t xml:space="preserve"> as authority for the proposition that ‘[a] perpetrator’s specific intent to destroy can be distinguished from the intent required for persecutions as a crime against humanity on the basis that a perpetrator who possesses genocidal intent has formed more than an intent to harm a group by virtue of his discriminatory acts; he actually intends to </w:t>
      </w:r>
      <w:r w:rsidRPr="00E549ED">
        <w:rPr>
          <w:rFonts w:ascii="Times New Roman" w:hAnsi="Times New Roman"/>
          <w:i/>
          <w:lang w:val="en-US"/>
        </w:rPr>
        <w:t>destroy</w:t>
      </w:r>
      <w:r w:rsidRPr="00E549ED">
        <w:rPr>
          <w:rFonts w:ascii="Times New Roman" w:hAnsi="Times New Roman"/>
          <w:lang w:val="en-US"/>
        </w:rPr>
        <w:t xml:space="preserve"> the group itself’.</w:t>
      </w:r>
      <w:r w:rsidRPr="00B71673">
        <w:rPr>
          <w:rStyle w:val="FootnoteReference"/>
          <w:rFonts w:ascii="Times New Roman" w:hAnsi="Times New Roman"/>
          <w:lang w:val="en-US"/>
        </w:rPr>
        <w:footnoteReference w:id="109"/>
      </w:r>
      <w:r w:rsidRPr="00E549ED">
        <w:rPr>
          <w:rFonts w:ascii="Times New Roman" w:hAnsi="Times New Roman"/>
          <w:lang w:val="en-US"/>
        </w:rPr>
        <w:t xml:space="preserve"> To an extent the Trial Chamber departed from </w:t>
      </w:r>
      <w:r w:rsidRPr="00E549ED">
        <w:rPr>
          <w:rFonts w:ascii="Times New Roman" w:hAnsi="Times New Roman"/>
          <w:lang w:val="en-US"/>
        </w:rPr>
        <w:lastRenderedPageBreak/>
        <w:t>earlier precedent by taking the view that ‘forcible transfer’ could be ‘an additional means by which to ensure the physical destruction of a group’.</w:t>
      </w:r>
      <w:r w:rsidRPr="00B71673">
        <w:rPr>
          <w:rStyle w:val="FootnoteReference"/>
          <w:rFonts w:ascii="Times New Roman" w:hAnsi="Times New Roman"/>
          <w:lang w:val="en-US"/>
        </w:rPr>
        <w:footnoteReference w:id="110"/>
      </w:r>
      <w:r w:rsidRPr="00E549ED">
        <w:rPr>
          <w:rFonts w:ascii="Times New Roman" w:hAnsi="Times New Roman"/>
          <w:lang w:val="en-US"/>
        </w:rPr>
        <w:t xml:space="preserve"> It endorsed the words of an earlier Trial Chamber decision in </w:t>
      </w:r>
      <w:proofErr w:type="spellStart"/>
      <w:r w:rsidRPr="00E549ED">
        <w:rPr>
          <w:rFonts w:ascii="Times New Roman" w:hAnsi="Times New Roman"/>
          <w:i/>
          <w:lang w:val="en-US"/>
        </w:rPr>
        <w:t>Blagojević</w:t>
      </w:r>
      <w:proofErr w:type="spellEnd"/>
      <w:r w:rsidRPr="00E549ED">
        <w:rPr>
          <w:rFonts w:ascii="Times New Roman" w:hAnsi="Times New Roman"/>
          <w:i/>
          <w:lang w:val="en-US"/>
        </w:rPr>
        <w:t xml:space="preserve"> and </w:t>
      </w:r>
      <w:proofErr w:type="spellStart"/>
      <w:r w:rsidRPr="00E549ED">
        <w:rPr>
          <w:rFonts w:ascii="Times New Roman" w:hAnsi="Times New Roman"/>
          <w:i/>
          <w:lang w:val="en-US"/>
        </w:rPr>
        <w:t>Jokić</w:t>
      </w:r>
      <w:proofErr w:type="spellEnd"/>
      <w:r w:rsidRPr="00E549ED">
        <w:rPr>
          <w:rFonts w:ascii="Times New Roman" w:hAnsi="Times New Roman"/>
          <w:lang w:val="en-US"/>
        </w:rPr>
        <w:t xml:space="preserve"> where it was held ‘that the physical or biological destruction of the group is the likely outcome of a forcible transfer of the population when this transfer is conducted in such a way that the group can no longer reconstitute itself – particularly when it involves the separation of its members’.</w:t>
      </w:r>
      <w:r w:rsidRPr="00CF45B8">
        <w:rPr>
          <w:rStyle w:val="FootnoteReference"/>
          <w:rFonts w:ascii="Times New Roman" w:hAnsi="Times New Roman"/>
          <w:lang w:val="en-US"/>
        </w:rPr>
        <w:footnoteReference w:id="111"/>
      </w:r>
      <w:r w:rsidRPr="00E549ED">
        <w:rPr>
          <w:rFonts w:ascii="Times New Roman" w:hAnsi="Times New Roman"/>
          <w:lang w:val="en-US"/>
        </w:rPr>
        <w:t xml:space="preserve"> The </w:t>
      </w:r>
      <w:proofErr w:type="spellStart"/>
      <w:r w:rsidRPr="00E549ED">
        <w:rPr>
          <w:rFonts w:ascii="Times New Roman" w:hAnsi="Times New Roman"/>
          <w:i/>
          <w:lang w:val="en-US"/>
        </w:rPr>
        <w:t>Tolimir</w:t>
      </w:r>
      <w:proofErr w:type="spellEnd"/>
      <w:r w:rsidRPr="00E549ED">
        <w:rPr>
          <w:rFonts w:ascii="Times New Roman" w:hAnsi="Times New Roman"/>
          <w:i/>
          <w:lang w:val="en-US"/>
        </w:rPr>
        <w:t xml:space="preserve"> </w:t>
      </w:r>
      <w:r w:rsidRPr="00E549ED">
        <w:rPr>
          <w:rFonts w:ascii="Times New Roman" w:hAnsi="Times New Roman"/>
          <w:lang w:val="en-US"/>
        </w:rPr>
        <w:t>Trial Chamber said it was ‘</w:t>
      </w:r>
      <w:r w:rsidRPr="00E549ED">
        <w:rPr>
          <w:rFonts w:ascii="Times" w:hAnsi="Times" w:cs="Times"/>
          <w:lang w:val="en-US"/>
        </w:rPr>
        <w:t xml:space="preserve">particularly guided’ by this finding of the Trial Chamber in </w:t>
      </w:r>
      <w:proofErr w:type="spellStart"/>
      <w:r w:rsidRPr="00E549ED">
        <w:rPr>
          <w:rFonts w:ascii="Times New Roman" w:hAnsi="Times New Roman"/>
          <w:i/>
          <w:lang w:val="en-US"/>
        </w:rPr>
        <w:t>Blagojević</w:t>
      </w:r>
      <w:proofErr w:type="spellEnd"/>
      <w:r w:rsidRPr="00E549ED">
        <w:rPr>
          <w:rFonts w:ascii="Times New Roman" w:hAnsi="Times New Roman"/>
          <w:i/>
          <w:lang w:val="en-US"/>
        </w:rPr>
        <w:t xml:space="preserve"> and </w:t>
      </w:r>
      <w:proofErr w:type="spellStart"/>
      <w:r w:rsidRPr="00E549ED">
        <w:rPr>
          <w:rFonts w:ascii="Times New Roman" w:hAnsi="Times New Roman"/>
          <w:i/>
          <w:lang w:val="en-US"/>
        </w:rPr>
        <w:t>Jokić</w:t>
      </w:r>
      <w:proofErr w:type="spellEnd"/>
      <w:r w:rsidRPr="00E549ED">
        <w:rPr>
          <w:rFonts w:ascii="Times New Roman" w:hAnsi="Times New Roman"/>
          <w:i/>
          <w:lang w:val="en-US"/>
        </w:rPr>
        <w:t>.</w:t>
      </w:r>
      <w:r w:rsidRPr="00CF45B8">
        <w:rPr>
          <w:rStyle w:val="FootnoteReference"/>
          <w:rFonts w:ascii="Times New Roman" w:hAnsi="Times New Roman"/>
          <w:lang w:val="en-US"/>
        </w:rPr>
        <w:footnoteReference w:id="112"/>
      </w:r>
      <w:r w:rsidRPr="00E549ED">
        <w:rPr>
          <w:rFonts w:ascii="Times New Roman" w:hAnsi="Times New Roman"/>
          <w:i/>
          <w:lang w:val="en-US"/>
        </w:rPr>
        <w:t xml:space="preserve"> </w:t>
      </w:r>
      <w:r w:rsidRPr="00E549ED">
        <w:rPr>
          <w:rFonts w:ascii="Times New Roman" w:hAnsi="Times New Roman"/>
          <w:lang w:val="en-US"/>
        </w:rPr>
        <w:t xml:space="preserve">What it does not say is that this aspect of the </w:t>
      </w:r>
      <w:proofErr w:type="spellStart"/>
      <w:r w:rsidRPr="00E549ED">
        <w:rPr>
          <w:rFonts w:ascii="Times New Roman" w:hAnsi="Times New Roman"/>
          <w:i/>
          <w:lang w:val="en-US"/>
        </w:rPr>
        <w:t>Blagojević</w:t>
      </w:r>
      <w:proofErr w:type="spellEnd"/>
      <w:r w:rsidRPr="00E549ED">
        <w:rPr>
          <w:rFonts w:ascii="Times New Roman" w:hAnsi="Times New Roman"/>
          <w:i/>
          <w:lang w:val="en-US"/>
        </w:rPr>
        <w:t xml:space="preserve"> and </w:t>
      </w:r>
      <w:proofErr w:type="spellStart"/>
      <w:r w:rsidRPr="00E549ED">
        <w:rPr>
          <w:rFonts w:ascii="Times New Roman" w:hAnsi="Times New Roman"/>
          <w:i/>
          <w:lang w:val="en-US"/>
        </w:rPr>
        <w:t>Jokić</w:t>
      </w:r>
      <w:proofErr w:type="spellEnd"/>
      <w:r w:rsidRPr="00E549ED">
        <w:rPr>
          <w:rFonts w:ascii="Times New Roman" w:hAnsi="Times New Roman"/>
          <w:i/>
          <w:lang w:val="en-US"/>
        </w:rPr>
        <w:t xml:space="preserve"> </w:t>
      </w:r>
      <w:r w:rsidRPr="00E549ED">
        <w:rPr>
          <w:rFonts w:ascii="Times New Roman" w:hAnsi="Times New Roman"/>
          <w:lang w:val="en-US"/>
        </w:rPr>
        <w:t xml:space="preserve">Trial Judgment was reversed on appeal. The </w:t>
      </w:r>
      <w:proofErr w:type="spellStart"/>
      <w:r w:rsidRPr="00E549ED">
        <w:rPr>
          <w:rFonts w:ascii="Times New Roman" w:hAnsi="Times New Roman"/>
          <w:i/>
          <w:lang w:val="en-US"/>
        </w:rPr>
        <w:t>Tolimir</w:t>
      </w:r>
      <w:proofErr w:type="spellEnd"/>
      <w:r w:rsidRPr="00E549ED">
        <w:rPr>
          <w:rFonts w:ascii="Times New Roman" w:hAnsi="Times New Roman"/>
          <w:i/>
          <w:lang w:val="en-US"/>
        </w:rPr>
        <w:t xml:space="preserve"> </w:t>
      </w:r>
      <w:r w:rsidRPr="00E549ED">
        <w:rPr>
          <w:rFonts w:ascii="Times New Roman" w:hAnsi="Times New Roman"/>
          <w:lang w:val="en-US"/>
        </w:rPr>
        <w:t>Trial Chamber only states that it is ‘cognizant’ of the holding by the Appeals Chamber that displacement of a people is not equivalent to destruction and that forcible transfer in and of itself is not a genocidal act.</w:t>
      </w:r>
      <w:r w:rsidRPr="00B71673">
        <w:rPr>
          <w:rStyle w:val="FootnoteReference"/>
          <w:rFonts w:ascii="Times New Roman" w:hAnsi="Times New Roman"/>
          <w:lang w:val="en-US"/>
        </w:rPr>
        <w:footnoteReference w:id="113"/>
      </w:r>
      <w:r w:rsidRPr="00E549ED">
        <w:rPr>
          <w:rFonts w:ascii="Times New Roman" w:hAnsi="Times New Roman"/>
          <w:lang w:val="en-US"/>
        </w:rPr>
        <w:t xml:space="preserve"> One of the five members of the Appeals Chamber in </w:t>
      </w:r>
      <w:r w:rsidR="00F879CA" w:rsidRPr="00E549ED">
        <w:rPr>
          <w:rFonts w:ascii="Times New Roman" w:hAnsi="Times New Roman"/>
          <w:lang w:val="en-US"/>
        </w:rPr>
        <w:t xml:space="preserve">the </w:t>
      </w:r>
      <w:proofErr w:type="spellStart"/>
      <w:r w:rsidR="00F879CA" w:rsidRPr="00E549ED">
        <w:rPr>
          <w:rFonts w:ascii="Times New Roman" w:hAnsi="Times New Roman"/>
          <w:i/>
          <w:lang w:val="en-US"/>
        </w:rPr>
        <w:t>Blagojević</w:t>
      </w:r>
      <w:proofErr w:type="spellEnd"/>
      <w:r w:rsidR="00F879CA" w:rsidRPr="00E549ED">
        <w:rPr>
          <w:rFonts w:ascii="Times New Roman" w:hAnsi="Times New Roman"/>
          <w:i/>
          <w:lang w:val="en-US"/>
        </w:rPr>
        <w:t xml:space="preserve"> and </w:t>
      </w:r>
      <w:proofErr w:type="spellStart"/>
      <w:r w:rsidR="00F879CA" w:rsidRPr="00E549ED">
        <w:rPr>
          <w:rFonts w:ascii="Times New Roman" w:hAnsi="Times New Roman"/>
          <w:i/>
          <w:lang w:val="en-US"/>
        </w:rPr>
        <w:t>Jokić</w:t>
      </w:r>
      <w:proofErr w:type="spellEnd"/>
      <w:r w:rsidR="00F879CA" w:rsidRPr="00E549ED">
        <w:rPr>
          <w:rFonts w:ascii="Times New Roman" w:hAnsi="Times New Roman"/>
          <w:i/>
          <w:lang w:val="en-US"/>
        </w:rPr>
        <w:t xml:space="preserve"> </w:t>
      </w:r>
      <w:r w:rsidR="00F879CA" w:rsidRPr="00E549ED">
        <w:rPr>
          <w:rFonts w:ascii="Times New Roman" w:hAnsi="Times New Roman"/>
          <w:lang w:val="en-US"/>
        </w:rPr>
        <w:t>ruling</w:t>
      </w:r>
      <w:r w:rsidRPr="00E549ED">
        <w:rPr>
          <w:rFonts w:ascii="Times New Roman" w:hAnsi="Times New Roman"/>
          <w:lang w:val="en-US"/>
        </w:rPr>
        <w:t xml:space="preserve"> was in dissent. Judge </w:t>
      </w:r>
      <w:proofErr w:type="spellStart"/>
      <w:r w:rsidRPr="00E549ED">
        <w:rPr>
          <w:rFonts w:ascii="Times New Roman" w:hAnsi="Times New Roman"/>
          <w:lang w:val="en-US"/>
        </w:rPr>
        <w:t>Shahabbuddeen</w:t>
      </w:r>
      <w:proofErr w:type="spellEnd"/>
      <w:r w:rsidRPr="00E549ED">
        <w:rPr>
          <w:rFonts w:ascii="Times New Roman" w:hAnsi="Times New Roman"/>
          <w:lang w:val="en-US"/>
        </w:rPr>
        <w:t xml:space="preserve"> would have upheld a conviction of complicity in genocide, following a broader approach to the definition of the crime than his four colleagues.</w:t>
      </w:r>
      <w:r>
        <w:rPr>
          <w:rStyle w:val="FootnoteReference"/>
          <w:rFonts w:ascii="Times New Roman" w:hAnsi="Times New Roman"/>
          <w:lang w:val="en-US"/>
        </w:rPr>
        <w:footnoteReference w:id="114"/>
      </w:r>
      <w:r w:rsidRPr="00E549ED">
        <w:rPr>
          <w:rFonts w:ascii="Times New Roman" w:hAnsi="Times New Roman"/>
          <w:lang w:val="en-US"/>
        </w:rPr>
        <w:t xml:space="preserve"> As is often the case with a dissenting opinion, it sharpens the debate and clarifies any possible ambiguity about the intent of the majority judgment. Just as there can be no question that the Appeals Chamber in </w:t>
      </w:r>
      <w:proofErr w:type="spellStart"/>
      <w:r w:rsidRPr="00E549ED">
        <w:rPr>
          <w:rFonts w:ascii="Times New Roman" w:hAnsi="Times New Roman"/>
          <w:i/>
          <w:lang w:val="en-US"/>
        </w:rPr>
        <w:t>Blagojević</w:t>
      </w:r>
      <w:proofErr w:type="spellEnd"/>
      <w:r w:rsidRPr="00E549ED">
        <w:rPr>
          <w:rFonts w:ascii="Times New Roman" w:hAnsi="Times New Roman"/>
          <w:i/>
          <w:lang w:val="en-US"/>
        </w:rPr>
        <w:t xml:space="preserve"> and </w:t>
      </w:r>
      <w:proofErr w:type="spellStart"/>
      <w:r w:rsidRPr="00E549ED">
        <w:rPr>
          <w:rFonts w:ascii="Times New Roman" w:hAnsi="Times New Roman"/>
          <w:i/>
          <w:lang w:val="en-US"/>
        </w:rPr>
        <w:t>Jokić</w:t>
      </w:r>
      <w:proofErr w:type="spellEnd"/>
      <w:r w:rsidRPr="00E549ED">
        <w:rPr>
          <w:rFonts w:ascii="Times New Roman" w:hAnsi="Times New Roman"/>
          <w:i/>
          <w:lang w:val="en-US"/>
        </w:rPr>
        <w:t xml:space="preserve"> </w:t>
      </w:r>
      <w:r w:rsidRPr="00E549ED">
        <w:rPr>
          <w:rFonts w:ascii="Times New Roman" w:hAnsi="Times New Roman"/>
          <w:lang w:val="en-US"/>
        </w:rPr>
        <w:t xml:space="preserve">did not confirm the broad and liberal approach to genocide that had been adopted by the Trial Chamber, there can also be little doubt that the Trial Chamber in </w:t>
      </w:r>
      <w:proofErr w:type="spellStart"/>
      <w:r w:rsidRPr="00E549ED">
        <w:rPr>
          <w:rFonts w:ascii="Times New Roman" w:hAnsi="Times New Roman"/>
          <w:i/>
          <w:lang w:val="en-US"/>
        </w:rPr>
        <w:t>Tolimir</w:t>
      </w:r>
      <w:proofErr w:type="spellEnd"/>
      <w:r w:rsidRPr="00E549ED">
        <w:rPr>
          <w:rFonts w:ascii="Times New Roman" w:hAnsi="Times New Roman"/>
          <w:i/>
          <w:lang w:val="en-US"/>
        </w:rPr>
        <w:t xml:space="preserve"> </w:t>
      </w:r>
      <w:r w:rsidR="00F152C4">
        <w:rPr>
          <w:rFonts w:ascii="Times New Roman" w:hAnsi="Times New Roman"/>
          <w:lang w:val="en-US"/>
        </w:rPr>
        <w:t>wa</w:t>
      </w:r>
      <w:r w:rsidRPr="00E549ED">
        <w:rPr>
          <w:rFonts w:ascii="Times New Roman" w:hAnsi="Times New Roman"/>
          <w:lang w:val="en-US"/>
        </w:rPr>
        <w:t xml:space="preserve">s promoting a similar broad and liberal approach to </w:t>
      </w:r>
      <w:r w:rsidR="00F152C4">
        <w:rPr>
          <w:rFonts w:ascii="Times New Roman" w:hAnsi="Times New Roman"/>
          <w:lang w:val="en-US"/>
        </w:rPr>
        <w:t xml:space="preserve">genocide, thereby inviting the </w:t>
      </w:r>
      <w:r w:rsidRPr="00E549ED">
        <w:rPr>
          <w:rFonts w:ascii="Times New Roman" w:hAnsi="Times New Roman"/>
          <w:lang w:val="en-US"/>
        </w:rPr>
        <w:t xml:space="preserve">Appeals Chamber </w:t>
      </w:r>
      <w:r w:rsidR="00F152C4">
        <w:rPr>
          <w:rFonts w:ascii="Times New Roman" w:hAnsi="Times New Roman"/>
          <w:lang w:val="en-US"/>
        </w:rPr>
        <w:t xml:space="preserve">of the International Criminal Tribunal for the former Yugoslavia </w:t>
      </w:r>
      <w:r w:rsidRPr="00E549ED">
        <w:rPr>
          <w:rFonts w:ascii="Times New Roman" w:hAnsi="Times New Roman"/>
          <w:lang w:val="en-US"/>
        </w:rPr>
        <w:t xml:space="preserve">to reconsider its position. It is also striking that the Trial Chamber in </w:t>
      </w:r>
      <w:proofErr w:type="spellStart"/>
      <w:r w:rsidRPr="00E549ED">
        <w:rPr>
          <w:rFonts w:ascii="Times New Roman" w:hAnsi="Times New Roman"/>
          <w:i/>
          <w:lang w:val="en-US"/>
        </w:rPr>
        <w:t>Tolimir</w:t>
      </w:r>
      <w:proofErr w:type="spellEnd"/>
      <w:r w:rsidRPr="00E549ED">
        <w:rPr>
          <w:rFonts w:ascii="Times New Roman" w:hAnsi="Times New Roman"/>
          <w:lang w:val="en-US"/>
        </w:rPr>
        <w:t xml:space="preserve"> did not refer to the pronouncement of the </w:t>
      </w:r>
      <w:r w:rsidR="00F152C4">
        <w:rPr>
          <w:rFonts w:ascii="Times New Roman" w:hAnsi="Times New Roman"/>
          <w:lang w:val="en-US"/>
        </w:rPr>
        <w:t>International Court of Justice</w:t>
      </w:r>
      <w:r w:rsidRPr="00E549ED">
        <w:rPr>
          <w:rFonts w:ascii="Times New Roman" w:hAnsi="Times New Roman"/>
          <w:lang w:val="en-US"/>
        </w:rPr>
        <w:t xml:space="preserve"> on this subject</w:t>
      </w:r>
      <w:r w:rsidR="00F152C4">
        <w:rPr>
          <w:rFonts w:ascii="Times New Roman" w:hAnsi="Times New Roman"/>
          <w:lang w:val="en-US"/>
        </w:rPr>
        <w:t>, which wa</w:t>
      </w:r>
      <w:r w:rsidR="00F879CA" w:rsidRPr="00E549ED">
        <w:rPr>
          <w:rFonts w:ascii="Times New Roman" w:hAnsi="Times New Roman"/>
          <w:lang w:val="en-US"/>
        </w:rPr>
        <w:t>s of course completely inconsistent with its holding</w:t>
      </w:r>
      <w:r w:rsidRPr="00E549ED">
        <w:rPr>
          <w:rFonts w:ascii="Times New Roman" w:hAnsi="Times New Roman"/>
          <w:lang w:val="en-US"/>
        </w:rPr>
        <w:t>.</w:t>
      </w:r>
    </w:p>
    <w:p w14:paraId="045EA7BF" w14:textId="77777777" w:rsidR="00F152C4" w:rsidRDefault="00F152C4" w:rsidP="00F152C4">
      <w:pPr>
        <w:widowControl w:val="0"/>
        <w:autoSpaceDE w:val="0"/>
        <w:autoSpaceDN w:val="0"/>
        <w:adjustRightInd w:val="0"/>
        <w:spacing w:line="360" w:lineRule="auto"/>
        <w:ind w:firstLine="720"/>
        <w:jc w:val="both"/>
        <w:rPr>
          <w:rFonts w:ascii="Times New Roman" w:hAnsi="Times New Roman"/>
          <w:lang w:val="en-US"/>
        </w:rPr>
      </w:pPr>
      <w:r>
        <w:rPr>
          <w:rFonts w:ascii="Times New Roman" w:hAnsi="Times New Roman"/>
          <w:lang w:val="en-US"/>
        </w:rPr>
        <w:t>T</w:t>
      </w:r>
      <w:r w:rsidR="00013B42" w:rsidRPr="00E549ED">
        <w:rPr>
          <w:rFonts w:ascii="Times New Roman" w:hAnsi="Times New Roman"/>
          <w:lang w:val="en-US"/>
        </w:rPr>
        <w:t xml:space="preserve">he majority of the Trial Chamber in </w:t>
      </w:r>
      <w:proofErr w:type="spellStart"/>
      <w:r w:rsidR="00013B42" w:rsidRPr="00E549ED">
        <w:rPr>
          <w:rFonts w:ascii="Times New Roman" w:hAnsi="Times New Roman"/>
          <w:i/>
          <w:lang w:val="en-US"/>
        </w:rPr>
        <w:t>Tolimir</w:t>
      </w:r>
      <w:proofErr w:type="spellEnd"/>
      <w:r w:rsidR="00013B42" w:rsidRPr="00E549ED">
        <w:rPr>
          <w:rFonts w:ascii="Times New Roman" w:hAnsi="Times New Roman"/>
          <w:i/>
          <w:lang w:val="en-US"/>
        </w:rPr>
        <w:t xml:space="preserve"> </w:t>
      </w:r>
      <w:r w:rsidR="00013B42" w:rsidRPr="00E549ED">
        <w:rPr>
          <w:rFonts w:ascii="Times New Roman" w:hAnsi="Times New Roman"/>
          <w:lang w:val="en-US"/>
        </w:rPr>
        <w:t xml:space="preserve">held that the only ‘reasonable inference to draw from the evidence’ was that ‘the conditions resulting from the acts </w:t>
      </w:r>
      <w:r w:rsidR="00013B42" w:rsidRPr="00E549ED">
        <w:rPr>
          <w:rFonts w:ascii="Times New Roman" w:hAnsi="Times New Roman"/>
          <w:lang w:val="en-US"/>
        </w:rPr>
        <w:lastRenderedPageBreak/>
        <w:t xml:space="preserve">of Bosnian Serb Forces, as part of the combined effect of the forcible transfer and killing operations were deliberately inflicted, and calculated to lead to the physical destruction of the Bosnian Muslim population of Eastern </w:t>
      </w:r>
      <w:proofErr w:type="spellStart"/>
      <w:r w:rsidR="00013B42" w:rsidRPr="00E549ED">
        <w:rPr>
          <w:rFonts w:ascii="Times New Roman" w:hAnsi="Times New Roman"/>
          <w:lang w:val="en-US"/>
        </w:rPr>
        <w:t>BiH</w:t>
      </w:r>
      <w:proofErr w:type="spellEnd"/>
      <w:r w:rsidR="00013B42" w:rsidRPr="00E549ED">
        <w:rPr>
          <w:rFonts w:ascii="Times New Roman" w:hAnsi="Times New Roman"/>
          <w:lang w:val="en-US"/>
        </w:rPr>
        <w:t>’.</w:t>
      </w:r>
      <w:r w:rsidR="00013B42" w:rsidRPr="00B71673">
        <w:rPr>
          <w:rStyle w:val="FootnoteReference"/>
          <w:rFonts w:ascii="Times New Roman" w:hAnsi="Times New Roman"/>
          <w:lang w:val="en-US"/>
        </w:rPr>
        <w:footnoteReference w:id="115"/>
      </w:r>
      <w:r w:rsidR="00013B42" w:rsidRPr="00E549ED">
        <w:rPr>
          <w:rFonts w:ascii="Times New Roman" w:hAnsi="Times New Roman"/>
          <w:lang w:val="en-US"/>
        </w:rPr>
        <w:t xml:space="preserve">  With respect to the </w:t>
      </w:r>
      <w:proofErr w:type="spellStart"/>
      <w:r w:rsidR="00013B42" w:rsidRPr="00E549ED">
        <w:rPr>
          <w:rFonts w:ascii="Times New Roman" w:hAnsi="Times New Roman"/>
          <w:i/>
          <w:lang w:val="en-US"/>
        </w:rPr>
        <w:t>mens</w:t>
      </w:r>
      <w:proofErr w:type="spellEnd"/>
      <w:r w:rsidR="00013B42" w:rsidRPr="00E549ED">
        <w:rPr>
          <w:rFonts w:ascii="Times New Roman" w:hAnsi="Times New Roman"/>
          <w:i/>
          <w:lang w:val="en-US"/>
        </w:rPr>
        <w:t xml:space="preserve"> </w:t>
      </w:r>
      <w:proofErr w:type="spellStart"/>
      <w:r w:rsidR="00013B42" w:rsidRPr="00E549ED">
        <w:rPr>
          <w:rFonts w:ascii="Times New Roman" w:hAnsi="Times New Roman"/>
          <w:i/>
          <w:lang w:val="en-US"/>
        </w:rPr>
        <w:t>rea</w:t>
      </w:r>
      <w:proofErr w:type="spellEnd"/>
      <w:r w:rsidR="00013B42" w:rsidRPr="00E549ED">
        <w:rPr>
          <w:rFonts w:ascii="Times New Roman" w:hAnsi="Times New Roman"/>
          <w:lang w:val="en-US"/>
        </w:rPr>
        <w:t xml:space="preserve">, the Trial Chamber said that it </w:t>
      </w:r>
      <w:proofErr w:type="gramStart"/>
      <w:r w:rsidR="00013B42" w:rsidRPr="00E549ED">
        <w:rPr>
          <w:rFonts w:ascii="Times New Roman" w:hAnsi="Times New Roman"/>
          <w:lang w:val="en-US"/>
        </w:rPr>
        <w:t>‘ha[</w:t>
      </w:r>
      <w:proofErr w:type="gramEnd"/>
      <w:r w:rsidR="00013B42" w:rsidRPr="00E549ED">
        <w:rPr>
          <w:rFonts w:ascii="Times New Roman" w:hAnsi="Times New Roman"/>
          <w:lang w:val="en-US"/>
        </w:rPr>
        <w:t xml:space="preserve">d] no doubt that the Bosnian Serb Forces who committed the underlying acts set out in Article 4(2)(a)-(c) [of the Statute of the ICTY] intended the physical destruction of the Bosnian Muslim population of Eastern </w:t>
      </w:r>
      <w:proofErr w:type="spellStart"/>
      <w:r w:rsidR="00013B42" w:rsidRPr="00E549ED">
        <w:rPr>
          <w:rFonts w:ascii="Times New Roman" w:hAnsi="Times New Roman"/>
          <w:lang w:val="en-US"/>
        </w:rPr>
        <w:t>BiH</w:t>
      </w:r>
      <w:proofErr w:type="spellEnd"/>
      <w:r w:rsidR="00013B42" w:rsidRPr="00E549ED">
        <w:rPr>
          <w:rFonts w:ascii="Times New Roman" w:hAnsi="Times New Roman"/>
          <w:lang w:val="en-US"/>
        </w:rPr>
        <w:t>’.</w:t>
      </w:r>
      <w:r w:rsidR="00013B42" w:rsidRPr="00B71673">
        <w:rPr>
          <w:rStyle w:val="FootnoteReference"/>
          <w:rFonts w:ascii="Times New Roman" w:hAnsi="Times New Roman"/>
          <w:lang w:val="en-US"/>
        </w:rPr>
        <w:footnoteReference w:id="116"/>
      </w:r>
    </w:p>
    <w:p w14:paraId="5199654C" w14:textId="0183C146" w:rsidR="00F152C4" w:rsidRDefault="00013B42" w:rsidP="00F152C4">
      <w:pPr>
        <w:widowControl w:val="0"/>
        <w:autoSpaceDE w:val="0"/>
        <w:autoSpaceDN w:val="0"/>
        <w:adjustRightInd w:val="0"/>
        <w:spacing w:line="360" w:lineRule="auto"/>
        <w:ind w:firstLine="720"/>
        <w:jc w:val="both"/>
        <w:rPr>
          <w:rFonts w:ascii="Times New Roman" w:hAnsi="Times New Roman"/>
          <w:lang w:val="en-US"/>
        </w:rPr>
      </w:pPr>
      <w:r w:rsidRPr="00E549ED">
        <w:rPr>
          <w:rFonts w:ascii="Times New Roman" w:hAnsi="Times New Roman"/>
          <w:lang w:val="en-US"/>
        </w:rPr>
        <w:t xml:space="preserve">The </w:t>
      </w:r>
      <w:proofErr w:type="spellStart"/>
      <w:r w:rsidRPr="00E549ED">
        <w:rPr>
          <w:rFonts w:ascii="Times New Roman" w:hAnsi="Times New Roman"/>
          <w:i/>
          <w:lang w:val="en-US"/>
        </w:rPr>
        <w:t>Tolimir</w:t>
      </w:r>
      <w:proofErr w:type="spellEnd"/>
      <w:r w:rsidRPr="00E549ED">
        <w:rPr>
          <w:rFonts w:ascii="Times New Roman" w:hAnsi="Times New Roman"/>
          <w:lang w:val="en-US"/>
        </w:rPr>
        <w:t xml:space="preserve"> case concerned not only Sreb</w:t>
      </w:r>
      <w:r w:rsidR="00F152C4">
        <w:rPr>
          <w:rFonts w:ascii="Times New Roman" w:hAnsi="Times New Roman"/>
          <w:lang w:val="en-US"/>
        </w:rPr>
        <w:t xml:space="preserve">renica but also the attacks in </w:t>
      </w:r>
      <w:proofErr w:type="spellStart"/>
      <w:r w:rsidR="00F152C4">
        <w:rPr>
          <w:rFonts w:ascii="Times New Roman" w:hAnsi="Times New Roman"/>
          <w:lang w:val="en-US"/>
        </w:rPr>
        <w:t>Ž</w:t>
      </w:r>
      <w:r w:rsidRPr="00E549ED">
        <w:rPr>
          <w:rFonts w:ascii="Times New Roman" w:hAnsi="Times New Roman"/>
          <w:lang w:val="en-US"/>
        </w:rPr>
        <w:t>epa</w:t>
      </w:r>
      <w:proofErr w:type="spellEnd"/>
      <w:r w:rsidRPr="00E549ED">
        <w:rPr>
          <w:rFonts w:ascii="Times New Roman" w:hAnsi="Times New Roman"/>
          <w:lang w:val="en-US"/>
        </w:rPr>
        <w:t>, which followed in late July 1995. It seems that mass killings</w:t>
      </w:r>
      <w:r w:rsidR="00B91A7F">
        <w:rPr>
          <w:rFonts w:ascii="Times New Roman" w:hAnsi="Times New Roman"/>
          <w:lang w:val="en-US"/>
        </w:rPr>
        <w:t>, like those in Srebrenica, did not occur</w:t>
      </w:r>
      <w:r w:rsidRPr="00E549ED">
        <w:rPr>
          <w:rFonts w:ascii="Times New Roman" w:hAnsi="Times New Roman"/>
          <w:lang w:val="en-US"/>
        </w:rPr>
        <w:t xml:space="preserve"> in </w:t>
      </w:r>
      <w:proofErr w:type="spellStart"/>
      <w:r w:rsidR="00F152C4">
        <w:rPr>
          <w:rFonts w:ascii="Times New Roman" w:hAnsi="Times New Roman"/>
          <w:lang w:val="en-US"/>
        </w:rPr>
        <w:t>Ž</w:t>
      </w:r>
      <w:r w:rsidRPr="00E549ED">
        <w:rPr>
          <w:rFonts w:ascii="Times New Roman" w:hAnsi="Times New Roman"/>
          <w:lang w:val="en-US"/>
        </w:rPr>
        <w:t>epa</w:t>
      </w:r>
      <w:proofErr w:type="spellEnd"/>
      <w:r w:rsidRPr="00E549ED">
        <w:rPr>
          <w:rFonts w:ascii="Times New Roman" w:hAnsi="Times New Roman"/>
          <w:lang w:val="en-US"/>
        </w:rPr>
        <w:t xml:space="preserve">. Nevertheless, </w:t>
      </w:r>
      <w:proofErr w:type="gramStart"/>
      <w:r w:rsidRPr="00E549ED">
        <w:rPr>
          <w:rFonts w:ascii="Times New Roman" w:hAnsi="Times New Roman"/>
          <w:lang w:val="en-US"/>
        </w:rPr>
        <w:t>three community leaders were murdered by Bosnian Serb forces</w:t>
      </w:r>
      <w:proofErr w:type="gramEnd"/>
      <w:r w:rsidRPr="00E549ED">
        <w:rPr>
          <w:rFonts w:ascii="Times New Roman" w:hAnsi="Times New Roman"/>
          <w:lang w:val="en-US"/>
        </w:rPr>
        <w:t xml:space="preserve">. Holding that there was genocidal intent associated with the attacks on </w:t>
      </w:r>
      <w:proofErr w:type="spellStart"/>
      <w:r w:rsidR="00F152C4">
        <w:rPr>
          <w:rFonts w:ascii="Times New Roman" w:hAnsi="Times New Roman"/>
          <w:lang w:val="en-US"/>
        </w:rPr>
        <w:t>Ž</w:t>
      </w:r>
      <w:r w:rsidRPr="00E549ED">
        <w:rPr>
          <w:rFonts w:ascii="Times New Roman" w:hAnsi="Times New Roman"/>
          <w:lang w:val="en-US"/>
        </w:rPr>
        <w:t>epa</w:t>
      </w:r>
      <w:proofErr w:type="spellEnd"/>
      <w:r w:rsidRPr="00E549ED">
        <w:rPr>
          <w:rFonts w:ascii="Times New Roman" w:hAnsi="Times New Roman"/>
          <w:lang w:val="en-US"/>
        </w:rPr>
        <w:t xml:space="preserve">, the majority of the Trial Chamber said that ‘to ensure that the Bosnian Muslim population of this enclave would not be able to reconstitute itself, it was sufficient - in the case of </w:t>
      </w:r>
      <w:proofErr w:type="spellStart"/>
      <w:r w:rsidR="004F6DE7">
        <w:rPr>
          <w:rFonts w:ascii="Times New Roman" w:hAnsi="Times New Roman"/>
          <w:lang w:val="en-US"/>
        </w:rPr>
        <w:t>Ž</w:t>
      </w:r>
      <w:r w:rsidRPr="00E549ED">
        <w:rPr>
          <w:rFonts w:ascii="Times New Roman" w:hAnsi="Times New Roman"/>
          <w:lang w:val="en-US"/>
        </w:rPr>
        <w:t>epa</w:t>
      </w:r>
      <w:proofErr w:type="spellEnd"/>
      <w:r w:rsidRPr="00E549ED">
        <w:rPr>
          <w:rFonts w:ascii="Times New Roman" w:hAnsi="Times New Roman"/>
          <w:lang w:val="en-US"/>
        </w:rPr>
        <w:t xml:space="preserve"> - to remove its civilian population, destroy their homes and their mosque, and murder its most prominent leaders’.</w:t>
      </w:r>
      <w:r w:rsidRPr="00B71673">
        <w:rPr>
          <w:rStyle w:val="FootnoteReference"/>
          <w:rFonts w:ascii="Times New Roman" w:hAnsi="Times New Roman"/>
          <w:lang w:val="en-US"/>
        </w:rPr>
        <w:footnoteReference w:id="117"/>
      </w:r>
      <w:r w:rsidRPr="00E549ED">
        <w:rPr>
          <w:rFonts w:ascii="Times New Roman" w:hAnsi="Times New Roman"/>
          <w:lang w:val="en-US"/>
        </w:rPr>
        <w:t xml:space="preserve"> In this respect, it endorsed an interpretative approach whereby the words ‘in whole or in part’ in article 2 of the Convention refer not only to a ‘substantial part’ but also a ‘significant part’. It concluded: ‘The Majority has no doubt that the murder of </w:t>
      </w:r>
      <w:proofErr w:type="spellStart"/>
      <w:r w:rsidRPr="00E549ED">
        <w:rPr>
          <w:rFonts w:ascii="Times New Roman" w:hAnsi="Times New Roman"/>
          <w:lang w:val="en-US"/>
        </w:rPr>
        <w:t>Hajrić</w:t>
      </w:r>
      <w:proofErr w:type="spellEnd"/>
      <w:r w:rsidRPr="00E549ED">
        <w:rPr>
          <w:rFonts w:ascii="Times New Roman" w:hAnsi="Times New Roman"/>
          <w:lang w:val="en-US"/>
        </w:rPr>
        <w:t xml:space="preserve">, </w:t>
      </w:r>
      <w:proofErr w:type="spellStart"/>
      <w:r w:rsidRPr="00E549ED">
        <w:rPr>
          <w:rFonts w:ascii="Times New Roman" w:hAnsi="Times New Roman"/>
          <w:lang w:val="en-US"/>
        </w:rPr>
        <w:t>Palić</w:t>
      </w:r>
      <w:proofErr w:type="spellEnd"/>
      <w:r w:rsidRPr="00E549ED">
        <w:rPr>
          <w:rFonts w:ascii="Times New Roman" w:hAnsi="Times New Roman"/>
          <w:lang w:val="en-US"/>
        </w:rPr>
        <w:t xml:space="preserve"> and </w:t>
      </w:r>
      <w:proofErr w:type="spellStart"/>
      <w:r w:rsidRPr="00E549ED">
        <w:rPr>
          <w:rFonts w:ascii="Times New Roman" w:hAnsi="Times New Roman"/>
          <w:lang w:val="en-US"/>
        </w:rPr>
        <w:t>Imamović</w:t>
      </w:r>
      <w:proofErr w:type="spellEnd"/>
      <w:r w:rsidRPr="00E549ED">
        <w:rPr>
          <w:rFonts w:ascii="Times New Roman" w:hAnsi="Times New Roman"/>
          <w:lang w:val="en-US"/>
        </w:rPr>
        <w:t xml:space="preserve"> was a case of deliberate destruction of a limited number of persons selected for the impact that their disappearance would have on the survival of the group as such. On the basis of the above, the Majority, Judge </w:t>
      </w:r>
      <w:proofErr w:type="spellStart"/>
      <w:r w:rsidRPr="00E549ED">
        <w:rPr>
          <w:rFonts w:ascii="Times New Roman" w:hAnsi="Times New Roman"/>
          <w:lang w:val="en-US"/>
        </w:rPr>
        <w:t>Nyambe</w:t>
      </w:r>
      <w:proofErr w:type="spellEnd"/>
      <w:r w:rsidRPr="00E549ED">
        <w:rPr>
          <w:rFonts w:ascii="Times New Roman" w:hAnsi="Times New Roman"/>
          <w:lang w:val="en-US"/>
        </w:rPr>
        <w:t xml:space="preserve"> dissenting, is satisfied beyond reasonable doubt that Bosnian Serb Forces killed the three leaders named in the Indictment with the specific genocidal intent of destroying part of the Bosnian Muslim population as such.’</w:t>
      </w:r>
      <w:r w:rsidRPr="00B71673">
        <w:rPr>
          <w:rStyle w:val="FootnoteReference"/>
          <w:rFonts w:ascii="Times New Roman" w:hAnsi="Times New Roman"/>
          <w:lang w:val="en-US"/>
        </w:rPr>
        <w:footnoteReference w:id="118"/>
      </w:r>
      <w:r w:rsidRPr="00E549ED">
        <w:rPr>
          <w:rFonts w:ascii="Times New Roman" w:hAnsi="Times New Roman"/>
          <w:lang w:val="en-US"/>
        </w:rPr>
        <w:t xml:space="preserve"> The legal finding by the Trial Chamber on this point is both innovative and questionable. The inference that the murder of three community leaders constitutes both the </w:t>
      </w:r>
      <w:proofErr w:type="spellStart"/>
      <w:r w:rsidRPr="00E549ED">
        <w:rPr>
          <w:rFonts w:ascii="Times New Roman" w:hAnsi="Times New Roman"/>
          <w:lang w:val="en-US"/>
        </w:rPr>
        <w:t>mens</w:t>
      </w:r>
      <w:proofErr w:type="spellEnd"/>
      <w:r w:rsidRPr="00E549ED">
        <w:rPr>
          <w:rFonts w:ascii="Times New Roman" w:hAnsi="Times New Roman"/>
          <w:lang w:val="en-US"/>
        </w:rPr>
        <w:t xml:space="preserve"> </w:t>
      </w:r>
      <w:proofErr w:type="spellStart"/>
      <w:r w:rsidRPr="00E549ED">
        <w:rPr>
          <w:rFonts w:ascii="Times New Roman" w:hAnsi="Times New Roman"/>
          <w:lang w:val="en-US"/>
        </w:rPr>
        <w:t>rea</w:t>
      </w:r>
      <w:proofErr w:type="spellEnd"/>
      <w:r w:rsidRPr="00E549ED">
        <w:rPr>
          <w:rFonts w:ascii="Times New Roman" w:hAnsi="Times New Roman"/>
          <w:lang w:val="en-US"/>
        </w:rPr>
        <w:t xml:space="preserve"> and the </w:t>
      </w:r>
      <w:proofErr w:type="spellStart"/>
      <w:r w:rsidRPr="00E549ED">
        <w:rPr>
          <w:rFonts w:ascii="Times New Roman" w:hAnsi="Times New Roman"/>
          <w:lang w:val="en-US"/>
        </w:rPr>
        <w:t>actus</w:t>
      </w:r>
      <w:proofErr w:type="spellEnd"/>
      <w:r w:rsidRPr="00E549ED">
        <w:rPr>
          <w:rFonts w:ascii="Times New Roman" w:hAnsi="Times New Roman"/>
          <w:lang w:val="en-US"/>
        </w:rPr>
        <w:t xml:space="preserve"> </w:t>
      </w:r>
      <w:proofErr w:type="spellStart"/>
      <w:proofErr w:type="gramStart"/>
      <w:r w:rsidRPr="00E549ED">
        <w:rPr>
          <w:rFonts w:ascii="Times New Roman" w:hAnsi="Times New Roman"/>
          <w:lang w:val="en-US"/>
        </w:rPr>
        <w:t>reus</w:t>
      </w:r>
      <w:proofErr w:type="spellEnd"/>
      <w:proofErr w:type="gramEnd"/>
      <w:r w:rsidRPr="00E549ED">
        <w:rPr>
          <w:rFonts w:ascii="Times New Roman" w:hAnsi="Times New Roman"/>
          <w:lang w:val="en-US"/>
        </w:rPr>
        <w:t xml:space="preserve"> of genocide because of the alleged impact this may have on the survival of the group is a rather large interpretative step that broadens enormously the scope of the crime.</w:t>
      </w:r>
    </w:p>
    <w:p w14:paraId="4496B87F" w14:textId="77777777" w:rsidR="00DA6E0D" w:rsidRDefault="00013B42" w:rsidP="00DA6E0D">
      <w:pPr>
        <w:widowControl w:val="0"/>
        <w:autoSpaceDE w:val="0"/>
        <w:autoSpaceDN w:val="0"/>
        <w:adjustRightInd w:val="0"/>
        <w:spacing w:line="360" w:lineRule="auto"/>
        <w:ind w:firstLine="720"/>
        <w:jc w:val="both"/>
        <w:rPr>
          <w:rFonts w:ascii="Times New Roman" w:hAnsi="Times New Roman"/>
          <w:lang w:val="en-US"/>
        </w:rPr>
      </w:pPr>
      <w:r w:rsidRPr="00E549ED">
        <w:rPr>
          <w:rFonts w:ascii="Times New Roman" w:hAnsi="Times New Roman"/>
          <w:lang w:val="en-US"/>
        </w:rPr>
        <w:t xml:space="preserve">In </w:t>
      </w:r>
      <w:proofErr w:type="spellStart"/>
      <w:r w:rsidRPr="00E549ED">
        <w:rPr>
          <w:rFonts w:ascii="Times New Roman" w:hAnsi="Times New Roman"/>
          <w:i/>
          <w:lang w:val="en-US"/>
        </w:rPr>
        <w:t>Tolimir</w:t>
      </w:r>
      <w:proofErr w:type="spellEnd"/>
      <w:r w:rsidRPr="00E549ED">
        <w:rPr>
          <w:rFonts w:ascii="Times New Roman" w:hAnsi="Times New Roman"/>
          <w:lang w:val="en-US"/>
        </w:rPr>
        <w:t xml:space="preserve">, there were also allegations concerning prevention of births within the group. The Prosecutor had argued that this act of genocide resulted from ‘the lack of similarly-aged men, the loss of a husband's pension upon remarriage, the social </w:t>
      </w:r>
      <w:r w:rsidRPr="00E549ED">
        <w:rPr>
          <w:rFonts w:ascii="Times New Roman" w:hAnsi="Times New Roman"/>
          <w:lang w:val="en-US"/>
        </w:rPr>
        <w:lastRenderedPageBreak/>
        <w:t>stigma of remarriage and feelings of guilt’. The Trial Chamber did not consider that ‘this consequence of the forcible transfer operation qualifies as a “measure” imposed by the Bosnian Serb Forces “intended to prevent births within the group”’.</w:t>
      </w:r>
      <w:r w:rsidRPr="00B71673">
        <w:rPr>
          <w:rStyle w:val="FootnoteReference"/>
          <w:rFonts w:ascii="Times New Roman" w:hAnsi="Times New Roman"/>
          <w:lang w:val="en-US"/>
        </w:rPr>
        <w:footnoteReference w:id="119"/>
      </w:r>
      <w:r w:rsidRPr="00E549ED">
        <w:rPr>
          <w:rFonts w:ascii="Times New Roman" w:hAnsi="Times New Roman"/>
          <w:lang w:val="en-US"/>
        </w:rPr>
        <w:t xml:space="preserve"> There is also discussion of the act of ‘conspiracy to commit genocide’ in </w:t>
      </w:r>
      <w:proofErr w:type="spellStart"/>
      <w:r w:rsidRPr="00E549ED">
        <w:rPr>
          <w:rFonts w:ascii="Times New Roman" w:hAnsi="Times New Roman"/>
          <w:i/>
          <w:lang w:val="en-US"/>
        </w:rPr>
        <w:t>Tolimir</w:t>
      </w:r>
      <w:proofErr w:type="spellEnd"/>
      <w:r w:rsidRPr="00E549ED">
        <w:rPr>
          <w:rFonts w:ascii="Times New Roman" w:hAnsi="Times New Roman"/>
          <w:lang w:val="en-US"/>
        </w:rPr>
        <w:t>.</w:t>
      </w:r>
      <w:r w:rsidRPr="00B71673">
        <w:rPr>
          <w:rStyle w:val="FootnoteReference"/>
          <w:rFonts w:ascii="Times New Roman" w:hAnsi="Times New Roman"/>
          <w:lang w:val="en-US"/>
        </w:rPr>
        <w:footnoteReference w:id="120"/>
      </w:r>
    </w:p>
    <w:p w14:paraId="3A49A158" w14:textId="15218B85" w:rsidR="00DA6E0D" w:rsidRPr="00392446" w:rsidRDefault="00F152C4" w:rsidP="00DA6E0D">
      <w:pPr>
        <w:widowControl w:val="0"/>
        <w:autoSpaceDE w:val="0"/>
        <w:autoSpaceDN w:val="0"/>
        <w:adjustRightInd w:val="0"/>
        <w:spacing w:line="360" w:lineRule="auto"/>
        <w:ind w:firstLine="720"/>
        <w:jc w:val="both"/>
        <w:rPr>
          <w:rFonts w:ascii="Times New Roman" w:hAnsi="Times New Roman"/>
          <w:lang w:val="en-US"/>
        </w:rPr>
      </w:pPr>
      <w:r w:rsidRPr="00392446">
        <w:rPr>
          <w:rFonts w:ascii="Times New Roman" w:hAnsi="Times New Roman"/>
          <w:lang w:val="en-US"/>
        </w:rPr>
        <w:t xml:space="preserve">The </w:t>
      </w:r>
      <w:proofErr w:type="spellStart"/>
      <w:r w:rsidRPr="00392446">
        <w:rPr>
          <w:rFonts w:ascii="Times New Roman" w:hAnsi="Times New Roman"/>
          <w:i/>
          <w:lang w:val="en-US"/>
        </w:rPr>
        <w:t>Tolimir</w:t>
      </w:r>
      <w:proofErr w:type="spellEnd"/>
      <w:r w:rsidRPr="00392446">
        <w:rPr>
          <w:rFonts w:ascii="Times New Roman" w:hAnsi="Times New Roman"/>
          <w:i/>
          <w:lang w:val="en-US"/>
        </w:rPr>
        <w:t xml:space="preserve"> </w:t>
      </w:r>
      <w:r w:rsidRPr="00392446">
        <w:rPr>
          <w:rFonts w:ascii="Times New Roman" w:hAnsi="Times New Roman"/>
          <w:lang w:val="en-US"/>
        </w:rPr>
        <w:t xml:space="preserve">conviction was upheld on appeal, in a judgment issued on 8 April 2015. </w:t>
      </w:r>
      <w:r w:rsidR="00B91A7F">
        <w:rPr>
          <w:rFonts w:ascii="Times New Roman" w:hAnsi="Times New Roman"/>
          <w:lang w:val="en-US"/>
        </w:rPr>
        <w:t>The Appeals Chamber reversed several but not all of the genocide counts but did not alter the sentence of life imprisonment. I</w:t>
      </w:r>
      <w:r w:rsidRPr="00392446">
        <w:rPr>
          <w:rFonts w:ascii="Times New Roman" w:hAnsi="Times New Roman"/>
          <w:lang w:val="en-US"/>
        </w:rPr>
        <w:t>t did not endorse the innovative developments of the majority of the Trial Chamber.</w:t>
      </w:r>
      <w:r w:rsidR="00DA6E0D" w:rsidRPr="00392446">
        <w:rPr>
          <w:rFonts w:ascii="Times New Roman" w:hAnsi="Times New Roman"/>
          <w:lang w:val="en-US"/>
        </w:rPr>
        <w:t xml:space="preserve"> A detailed discussion of that judgment is beyond the scope of this essay. There were several references to the February 2015 judgment in </w:t>
      </w:r>
      <w:r w:rsidR="00DA6E0D" w:rsidRPr="00392446">
        <w:rPr>
          <w:rFonts w:ascii="Times New Roman" w:hAnsi="Times New Roman"/>
          <w:i/>
          <w:lang w:val="en-US"/>
        </w:rPr>
        <w:t xml:space="preserve">Croatia </w:t>
      </w:r>
      <w:r w:rsidR="00DA6E0D" w:rsidRPr="00392446">
        <w:rPr>
          <w:rFonts w:ascii="Times New Roman" w:hAnsi="Times New Roman"/>
          <w:lang w:val="en-US"/>
        </w:rPr>
        <w:t xml:space="preserve">v. </w:t>
      </w:r>
      <w:r w:rsidR="00DA6E0D" w:rsidRPr="00392446">
        <w:rPr>
          <w:rFonts w:ascii="Times New Roman" w:hAnsi="Times New Roman"/>
          <w:i/>
          <w:lang w:val="en-US"/>
        </w:rPr>
        <w:t>Serbia</w:t>
      </w:r>
      <w:r w:rsidR="00B91A7F">
        <w:rPr>
          <w:rFonts w:ascii="Times New Roman" w:hAnsi="Times New Roman"/>
          <w:lang w:val="en-US"/>
        </w:rPr>
        <w:t>. T</w:t>
      </w:r>
      <w:r w:rsidR="00DA6E0D" w:rsidRPr="00392446">
        <w:rPr>
          <w:rFonts w:ascii="Times New Roman" w:hAnsi="Times New Roman"/>
          <w:lang w:val="en-US"/>
        </w:rPr>
        <w:t>he Chamber described the International Court of Justice as ‘</w:t>
      </w:r>
      <w:r w:rsidR="00DA6E0D" w:rsidRPr="00392446">
        <w:rPr>
          <w:rFonts w:ascii="Times" w:hAnsi="Times" w:cs="Times"/>
          <w:lang w:val="en-US" w:eastAsia="bg-BG"/>
        </w:rPr>
        <w:t>the principal organ of the United Nations and the competent organ to resolve disputes relating to the interpretation of the Genocide Convention’.</w:t>
      </w:r>
      <w:r w:rsidR="00DA6E0D" w:rsidRPr="00392446">
        <w:rPr>
          <w:rStyle w:val="FootnoteReference"/>
          <w:rFonts w:ascii="Times" w:hAnsi="Times"/>
          <w:lang w:val="en-US" w:eastAsia="bg-BG"/>
        </w:rPr>
        <w:footnoteReference w:id="121"/>
      </w:r>
      <w:r w:rsidR="00DA6E0D" w:rsidRPr="00392446">
        <w:rPr>
          <w:rFonts w:ascii="Times" w:hAnsi="Times" w:cs="Times"/>
          <w:lang w:val="en-US" w:eastAsia="bg-BG"/>
        </w:rPr>
        <w:t xml:space="preserve"> </w:t>
      </w:r>
    </w:p>
    <w:p w14:paraId="24ADF77F" w14:textId="77777777" w:rsidR="00013B42" w:rsidRPr="00392446" w:rsidRDefault="00013B42" w:rsidP="00C848F4">
      <w:pPr>
        <w:widowControl w:val="0"/>
        <w:autoSpaceDE w:val="0"/>
        <w:autoSpaceDN w:val="0"/>
        <w:adjustRightInd w:val="0"/>
        <w:spacing w:line="360" w:lineRule="auto"/>
        <w:jc w:val="both"/>
        <w:rPr>
          <w:rFonts w:ascii="Times New Roman" w:hAnsi="Times New Roman"/>
          <w:iCs/>
          <w:lang w:val="en-US"/>
        </w:rPr>
      </w:pPr>
    </w:p>
    <w:p w14:paraId="40FC79C2" w14:textId="77777777" w:rsidR="00013B42" w:rsidRPr="00E549ED" w:rsidRDefault="00013B42" w:rsidP="00C848F4">
      <w:pPr>
        <w:keepNext/>
        <w:widowControl w:val="0"/>
        <w:autoSpaceDE w:val="0"/>
        <w:autoSpaceDN w:val="0"/>
        <w:adjustRightInd w:val="0"/>
        <w:spacing w:line="360" w:lineRule="auto"/>
        <w:jc w:val="both"/>
        <w:rPr>
          <w:rFonts w:ascii="Times New Roman" w:hAnsi="Times New Roman"/>
          <w:b/>
          <w:lang w:val="en-US"/>
        </w:rPr>
      </w:pPr>
      <w:r w:rsidRPr="00E549ED">
        <w:rPr>
          <w:rFonts w:ascii="Times New Roman" w:hAnsi="Times New Roman"/>
          <w:b/>
          <w:lang w:val="en-US"/>
        </w:rPr>
        <w:t>Concluding observations</w:t>
      </w:r>
    </w:p>
    <w:p w14:paraId="30D7F147" w14:textId="77777777" w:rsidR="00013B42" w:rsidRPr="00852919" w:rsidRDefault="00013B42" w:rsidP="00C848F4">
      <w:pPr>
        <w:keepNext/>
        <w:widowControl w:val="0"/>
        <w:autoSpaceDE w:val="0"/>
        <w:autoSpaceDN w:val="0"/>
        <w:adjustRightInd w:val="0"/>
        <w:spacing w:line="360" w:lineRule="auto"/>
        <w:jc w:val="both"/>
        <w:rPr>
          <w:rFonts w:ascii="Times New Roman" w:hAnsi="Times New Roman"/>
          <w:b/>
          <w:lang w:val="en-US"/>
        </w:rPr>
      </w:pPr>
    </w:p>
    <w:p w14:paraId="16ACD0D0" w14:textId="77777777" w:rsidR="00B91A7F" w:rsidRDefault="00013B42" w:rsidP="00392446">
      <w:pPr>
        <w:pStyle w:val="p"/>
        <w:ind w:firstLine="0"/>
      </w:pPr>
      <w:r w:rsidRPr="00230602">
        <w:t>In the 2007 judgment</w:t>
      </w:r>
      <w:r>
        <w:t xml:space="preserve"> in the </w:t>
      </w:r>
      <w:r>
        <w:rPr>
          <w:i/>
        </w:rPr>
        <w:t>Bosnia</w:t>
      </w:r>
      <w:r w:rsidR="00392446">
        <w:rPr>
          <w:i/>
        </w:rPr>
        <w:t xml:space="preserve"> and Herzegovina v. Serbia</w:t>
      </w:r>
      <w:r>
        <w:t xml:space="preserve"> case</w:t>
      </w:r>
      <w:r w:rsidRPr="00230602">
        <w:t xml:space="preserve">, the </w:t>
      </w:r>
      <w:r w:rsidR="00392446">
        <w:t xml:space="preserve">International </w:t>
      </w:r>
      <w:r w:rsidRPr="00230602">
        <w:t>Court</w:t>
      </w:r>
      <w:r w:rsidR="00392446">
        <w:t xml:space="preserve"> of Justice</w:t>
      </w:r>
      <w:r w:rsidRPr="00230602">
        <w:t xml:space="preserve"> built upon the case law of the</w:t>
      </w:r>
      <w:r w:rsidR="00B91A7F">
        <w:t xml:space="preserve"> </w:t>
      </w:r>
      <w:r w:rsidR="00B91A7F">
        <w:rPr>
          <w:i/>
        </w:rPr>
        <w:t xml:space="preserve">ad hoc </w:t>
      </w:r>
      <w:r w:rsidR="00B91A7F">
        <w:t>tribunals, especially the</w:t>
      </w:r>
      <w:r w:rsidRPr="00230602">
        <w:t xml:space="preserve"> </w:t>
      </w:r>
      <w:r w:rsidR="00392446">
        <w:t xml:space="preserve">International </w:t>
      </w:r>
      <w:r w:rsidR="00B91A7F">
        <w:t>Criminal Tribunal for the former Yugoslavia</w:t>
      </w:r>
      <w:r w:rsidRPr="00230602">
        <w:t xml:space="preserve">. One of the very commendable features of the 2007 </w:t>
      </w:r>
      <w:r w:rsidR="00392446">
        <w:t>ruling</w:t>
      </w:r>
      <w:r w:rsidRPr="00230602">
        <w:t xml:space="preserve"> was its effort at reconciling the interpretation of international legal provisions by international tribunals, thereby addressing the problem of fragmentation and encouraging the development of a holistic system despite the absence of structural unity in the hierarchical sense of domestic legal systems. </w:t>
      </w:r>
      <w:r w:rsidR="00B91A7F">
        <w:t xml:space="preserve">This attitude towards the case law of </w:t>
      </w:r>
      <w:proofErr w:type="spellStart"/>
      <w:r w:rsidR="00B91A7F">
        <w:t>specialised</w:t>
      </w:r>
      <w:proofErr w:type="spellEnd"/>
      <w:r w:rsidR="00B91A7F">
        <w:t xml:space="preserve"> international tribunals was made more explicit a few years later i</w:t>
      </w:r>
      <w:r w:rsidRPr="00230602">
        <w:t xml:space="preserve">n the </w:t>
      </w:r>
      <w:proofErr w:type="spellStart"/>
      <w:r w:rsidRPr="00230602">
        <w:rPr>
          <w:i/>
        </w:rPr>
        <w:t>Diallo</w:t>
      </w:r>
      <w:proofErr w:type="spellEnd"/>
      <w:r w:rsidRPr="00230602">
        <w:rPr>
          <w:i/>
        </w:rPr>
        <w:t xml:space="preserve"> </w:t>
      </w:r>
      <w:r w:rsidR="00B91A7F">
        <w:t>case. There, t</w:t>
      </w:r>
      <w:r w:rsidRPr="00230602">
        <w:t xml:space="preserve">he </w:t>
      </w:r>
      <w:r w:rsidR="003C4D19">
        <w:t xml:space="preserve">International </w:t>
      </w:r>
      <w:r w:rsidRPr="00230602">
        <w:t>Court</w:t>
      </w:r>
      <w:r w:rsidR="003C4D19">
        <w:t xml:space="preserve"> of Justice</w:t>
      </w:r>
      <w:r w:rsidRPr="00230602">
        <w:t xml:space="preserve"> </w:t>
      </w:r>
      <w:r w:rsidR="00392446">
        <w:t>held</w:t>
      </w:r>
      <w:r w:rsidRPr="00230602">
        <w:t xml:space="preserve"> that while it was ‘in no way obliged, in the exercise of its judicial functions, to model its own interpretation’ of the International Covenant on Civil and Political Rights on that of the United Nations Human Rights Committee, it said it ‘should ascribe great weight to the interpretation adopted by this independent body that was established specifically to supervise the application of that treaty’. The </w:t>
      </w:r>
      <w:r w:rsidRPr="00230602">
        <w:lastRenderedPageBreak/>
        <w:t>Court said this would help ‘to achieve the necessary clarity and the essential consistency of international law, as well as legal security, to which both the individuals with guaranteed rights and the States obliged to comply with treaty obligations are entitled’.</w:t>
      </w:r>
      <w:r w:rsidRPr="00230602">
        <w:rPr>
          <w:rStyle w:val="FootnoteReference"/>
        </w:rPr>
        <w:footnoteReference w:id="122"/>
      </w:r>
    </w:p>
    <w:p w14:paraId="3F71DFD7" w14:textId="7DC99125" w:rsidR="00392446" w:rsidRDefault="00B91A7F" w:rsidP="00B91A7F">
      <w:pPr>
        <w:pStyle w:val="p"/>
      </w:pPr>
      <w:r>
        <w:t>T</w:t>
      </w:r>
      <w:r w:rsidR="00013B42" w:rsidRPr="00230602">
        <w:t xml:space="preserve">here is a slight difference in this respect </w:t>
      </w:r>
      <w:r w:rsidR="00013B42">
        <w:t>between the International Covenant on Civil and Political Rights and</w:t>
      </w:r>
      <w:r w:rsidR="00013B42" w:rsidRPr="00230602">
        <w:t xml:space="preserve"> the Convention on the Prevention and Punishment</w:t>
      </w:r>
      <w:r w:rsidR="00013B42">
        <w:t xml:space="preserve"> of the Crime of Genocide. The</w:t>
      </w:r>
      <w:r>
        <w:t xml:space="preserve"> former establishes a ‘treaty body’ in provisions that indicate </w:t>
      </w:r>
      <w:r w:rsidR="00D10D54">
        <w:t>the scope of its singular role</w:t>
      </w:r>
      <w:r>
        <w:t>. The</w:t>
      </w:r>
      <w:r w:rsidR="00013B42">
        <w:t xml:space="preserve"> latter</w:t>
      </w:r>
      <w:r w:rsidR="00013B42" w:rsidRPr="00230602">
        <w:t xml:space="preserve"> contemplates not one but two tribunals with authority for its interpretation</w:t>
      </w:r>
      <w:r w:rsidR="00013B42">
        <w:t xml:space="preserve"> without indicating a preference as to </w:t>
      </w:r>
      <w:proofErr w:type="spellStart"/>
      <w:r w:rsidR="00D10D54">
        <w:t>ghe</w:t>
      </w:r>
      <w:proofErr w:type="spellEnd"/>
      <w:r w:rsidR="00D10D54">
        <w:t xml:space="preserve"> one that</w:t>
      </w:r>
      <w:r w:rsidR="00013B42">
        <w:t xml:space="preserve"> is more authoritative</w:t>
      </w:r>
      <w:r w:rsidR="00013B42" w:rsidRPr="00230602">
        <w:t xml:space="preserve">: an ‘international penal tribunal’, in article 6, and the </w:t>
      </w:r>
      <w:r w:rsidR="00392446">
        <w:t>International Court of Justice</w:t>
      </w:r>
      <w:r w:rsidR="00013B42" w:rsidRPr="00230602">
        <w:t>,</w:t>
      </w:r>
      <w:r w:rsidR="00392446">
        <w:t xml:space="preserve"> in article 9.</w:t>
      </w:r>
    </w:p>
    <w:p w14:paraId="674FF68D" w14:textId="35A4E35F" w:rsidR="00013B42" w:rsidRDefault="00013B42" w:rsidP="00B2312E">
      <w:pPr>
        <w:pStyle w:val="p"/>
      </w:pPr>
      <w:r>
        <w:t xml:space="preserve">In the </w:t>
      </w:r>
      <w:r>
        <w:rPr>
          <w:i/>
        </w:rPr>
        <w:t xml:space="preserve">Bosnia </w:t>
      </w:r>
      <w:r>
        <w:t>case</w:t>
      </w:r>
      <w:r w:rsidR="00392446">
        <w:t>,</w:t>
      </w:r>
      <w:r>
        <w:t xml:space="preserve"> </w:t>
      </w:r>
      <w:r w:rsidR="00392446">
        <w:t>the</w:t>
      </w:r>
      <w:r>
        <w:t xml:space="preserve"> </w:t>
      </w:r>
      <w:r w:rsidR="00392446">
        <w:t xml:space="preserve">International </w:t>
      </w:r>
      <w:r>
        <w:t xml:space="preserve">Court </w:t>
      </w:r>
      <w:r w:rsidR="00392446">
        <w:t xml:space="preserve">of Justice </w:t>
      </w:r>
      <w:r>
        <w:t xml:space="preserve">held that the </w:t>
      </w:r>
      <w:r w:rsidR="00392446">
        <w:t>Yugoslavia Tribunal</w:t>
      </w:r>
      <w:r>
        <w:t xml:space="preserve"> was </w:t>
      </w:r>
      <w:proofErr w:type="gramStart"/>
      <w:r>
        <w:t>an ‘international</w:t>
      </w:r>
      <w:proofErr w:type="gramEnd"/>
      <w:r>
        <w:t xml:space="preserve"> penal tribunal’ contemplated by article 6 of the Genocide Convention. Although it did not speak directly to the point in that judgment, it is obvious that the </w:t>
      </w:r>
      <w:r w:rsidR="00392446">
        <w:t>International Criminal Court</w:t>
      </w:r>
      <w:r>
        <w:t xml:space="preserve"> is also a tribunal within the meaning of article 6 of the Genocide Convention. In other words, the situation is slightly more complicated than it was in the </w:t>
      </w:r>
      <w:proofErr w:type="spellStart"/>
      <w:r>
        <w:rPr>
          <w:i/>
        </w:rPr>
        <w:t>Diallo</w:t>
      </w:r>
      <w:proofErr w:type="spellEnd"/>
      <w:r>
        <w:rPr>
          <w:i/>
        </w:rPr>
        <w:t xml:space="preserve"> case</w:t>
      </w:r>
      <w:r>
        <w:t xml:space="preserve"> because of the multiplicity of international tribunals with responsibility for the interpretation of the </w:t>
      </w:r>
      <w:r w:rsidR="00392446">
        <w:t>Convention or of provisions derived from it</w:t>
      </w:r>
      <w:r>
        <w:t xml:space="preserve">. Moreover, </w:t>
      </w:r>
      <w:r w:rsidR="00D10D54">
        <w:t>although the drafters of the Convention clearly envisaged the distinct role of two different international tribunals, they do not seem to have imagined that that there would actually be more than one ‘international penal tribunal’</w:t>
      </w:r>
      <w:r>
        <w:t xml:space="preserve"> </w:t>
      </w:r>
      <w:r w:rsidR="00D10D54">
        <w:t xml:space="preserve">capable of meeting the description in article 6. There seem to be four international tribunals that are covered by that definition: the two </w:t>
      </w:r>
      <w:r w:rsidR="00D10D54">
        <w:rPr>
          <w:i/>
        </w:rPr>
        <w:t xml:space="preserve">ad hoc </w:t>
      </w:r>
      <w:r w:rsidR="00D10D54">
        <w:t xml:space="preserve">tribunals, the Mechanism that succeeds them, and the International Criminal Court. What is to be done when there </w:t>
      </w:r>
      <w:r>
        <w:t>are conflicts in the interpretations proposed by the I</w:t>
      </w:r>
      <w:r w:rsidR="00392446">
        <w:t>nternational Criminal Tribunal for the former Yugoslavia</w:t>
      </w:r>
      <w:r>
        <w:t xml:space="preserve"> and the </w:t>
      </w:r>
      <w:r w:rsidR="00392446">
        <w:t>International Criminal Court</w:t>
      </w:r>
      <w:r w:rsidR="00D10D54">
        <w:t xml:space="preserve">, as is the case with the ‘lone </w:t>
      </w:r>
      <w:proofErr w:type="spellStart"/>
      <w:r w:rsidR="00D10D54" w:rsidRPr="00D10D54">
        <w:rPr>
          <w:i/>
        </w:rPr>
        <w:t>génocidaire</w:t>
      </w:r>
      <w:proofErr w:type="spellEnd"/>
      <w:r w:rsidR="00D10D54">
        <w:t xml:space="preserve">’ and the ‘manifest pattern’ </w:t>
      </w:r>
      <w:proofErr w:type="gramStart"/>
      <w:r w:rsidR="00D10D54">
        <w:t>issue</w:t>
      </w:r>
      <w:r>
        <w:t>.</w:t>
      </w:r>
      <w:proofErr w:type="gramEnd"/>
      <w:r>
        <w:t xml:space="preserve"> </w:t>
      </w:r>
      <w:r w:rsidRPr="00D57E61">
        <w:rPr>
          <w:lang w:val="en-GB"/>
        </w:rPr>
        <w:t xml:space="preserve">Nor can the issues be neatly parcelled out, letting the international criminal tribunals deal with matters of individual criminal liability while reserving State responsibility for the </w:t>
      </w:r>
      <w:r w:rsidR="00962F9D">
        <w:rPr>
          <w:lang w:val="en-GB"/>
        </w:rPr>
        <w:t>International Court of Justice</w:t>
      </w:r>
      <w:r w:rsidRPr="00D57E61">
        <w:rPr>
          <w:lang w:val="en-GB"/>
        </w:rPr>
        <w:t>. The issue of the mental element of the crime</w:t>
      </w:r>
      <w:r>
        <w:t xml:space="preserve"> of genocide may look somewhat different depending upon whether it is approached from the angle of individual intent, as has been the tendency at the </w:t>
      </w:r>
      <w:r w:rsidR="00D10D54">
        <w:rPr>
          <w:i/>
        </w:rPr>
        <w:t xml:space="preserve">ad hoc </w:t>
      </w:r>
      <w:r w:rsidR="00D10D54">
        <w:t>tribunals</w:t>
      </w:r>
      <w:r>
        <w:t xml:space="preserve">, or State policy, as </w:t>
      </w:r>
      <w:r>
        <w:lastRenderedPageBreak/>
        <w:t xml:space="preserve">may be the correct </w:t>
      </w:r>
      <w:r w:rsidR="00962F9D">
        <w:t>vision</w:t>
      </w:r>
      <w:r>
        <w:t xml:space="preserve"> when examined from the perspective of State responsibility. The ‘knowledge-based’ approach is of some assistance in solving the problem, thereby promoting the unification of international law, an objective that the </w:t>
      </w:r>
      <w:r w:rsidR="00962F9D">
        <w:t xml:space="preserve">International </w:t>
      </w:r>
      <w:r>
        <w:t xml:space="preserve">Court </w:t>
      </w:r>
      <w:r w:rsidR="00962F9D">
        <w:t xml:space="preserve">of Justice </w:t>
      </w:r>
      <w:r>
        <w:t xml:space="preserve">endorsed in the </w:t>
      </w:r>
      <w:proofErr w:type="spellStart"/>
      <w:r>
        <w:rPr>
          <w:i/>
        </w:rPr>
        <w:t>Diallo</w:t>
      </w:r>
      <w:proofErr w:type="spellEnd"/>
      <w:r>
        <w:rPr>
          <w:i/>
        </w:rPr>
        <w:t xml:space="preserve"> </w:t>
      </w:r>
      <w:r>
        <w:t>case.</w:t>
      </w:r>
    </w:p>
    <w:p w14:paraId="01B25D30" w14:textId="7EBDCADB" w:rsidR="00013B42" w:rsidRDefault="00013B42" w:rsidP="00B2312E">
      <w:pPr>
        <w:pStyle w:val="p"/>
      </w:pPr>
      <w:r w:rsidRPr="00257356">
        <w:t xml:space="preserve">The judgment of the </w:t>
      </w:r>
      <w:r w:rsidR="00962F9D">
        <w:t>International Court of Justice</w:t>
      </w:r>
      <w:r w:rsidRPr="00257356">
        <w:t xml:space="preserve"> in</w:t>
      </w:r>
      <w:r>
        <w:t xml:space="preserve"> the</w:t>
      </w:r>
      <w:r w:rsidRPr="00257356">
        <w:t xml:space="preserve"> </w:t>
      </w:r>
      <w:r w:rsidRPr="00257356">
        <w:rPr>
          <w:i/>
        </w:rPr>
        <w:t xml:space="preserve">Bosnia </w:t>
      </w:r>
      <w:r w:rsidRPr="0040406E">
        <w:t>case</w:t>
      </w:r>
      <w:r>
        <w:rPr>
          <w:i/>
        </w:rPr>
        <w:t xml:space="preserve"> </w:t>
      </w:r>
      <w:r w:rsidRPr="00257356">
        <w:t xml:space="preserve">met with considerable disappointment in some circles where a broad and expansive definition of genocide had been advocated. For decades, basically from the time of the adoption of the Convention in 1948, frustration with the narrow terms of article 2 had frequently been expressed. </w:t>
      </w:r>
      <w:r w:rsidR="00962F9D">
        <w:t>Yet it is a fact that</w:t>
      </w:r>
      <w:r w:rsidRPr="00257356">
        <w:t xml:space="preserve"> the Genocide Convention was only intended to cover a narrow range of </w:t>
      </w:r>
      <w:r w:rsidR="00962F9D">
        <w:t>violations</w:t>
      </w:r>
      <w:r w:rsidRPr="00257356">
        <w:t xml:space="preserve">. </w:t>
      </w:r>
      <w:r w:rsidR="00D10D54">
        <w:t xml:space="preserve">I was a pioneering document, imposing new and unprecedented obligations upon States. </w:t>
      </w:r>
      <w:r w:rsidRPr="00257356">
        <w:t xml:space="preserve">At the time, it was impossible to achieve any broader consensus within the United Nations General Assembly on the punishment of international atrocity crimes. Anxiety about an extensive reach of international criminal justice had prompted the four powers at the London Conference, in 1945, to limit the scope of crimes against humanity to those with a nexus to armed conflict. </w:t>
      </w:r>
      <w:r w:rsidR="00D10D54">
        <w:t xml:space="preserve">The Genocide Convention represented huge progress over the Charter of the International Military Tribunal because it addressed the </w:t>
      </w:r>
      <w:proofErr w:type="spellStart"/>
      <w:r w:rsidR="00D10D54">
        <w:t>crim</w:t>
      </w:r>
      <w:proofErr w:type="spellEnd"/>
      <w:r w:rsidR="00D10D54">
        <w:t xml:space="preserve"> ‘whether committed in time of peace or in time of war’. But there was a price to pay for this progressive development. T</w:t>
      </w:r>
      <w:r w:rsidRPr="00257356">
        <w:t>he General Assembly genocide narrowly</w:t>
      </w:r>
      <w:r w:rsidR="00645037">
        <w:t xml:space="preserve">, limiting it to certain groups and requiring </w:t>
      </w:r>
      <w:proofErr w:type="gramStart"/>
      <w:r w:rsidR="00645037">
        <w:t>an intent</w:t>
      </w:r>
      <w:proofErr w:type="gramEnd"/>
      <w:r w:rsidR="00645037">
        <w:t xml:space="preserve"> to destroy,</w:t>
      </w:r>
      <w:r w:rsidRPr="00257356">
        <w:t xml:space="preserve"> and </w:t>
      </w:r>
      <w:r w:rsidR="00645037">
        <w:t xml:space="preserve">it </w:t>
      </w:r>
      <w:r w:rsidR="00D10D54">
        <w:t>attempted to exclude</w:t>
      </w:r>
      <w:r w:rsidRPr="00257356">
        <w:t xml:space="preserve"> such corollaries as the exercise of universal jurisdiction.</w:t>
      </w:r>
    </w:p>
    <w:p w14:paraId="4AAE0A6D" w14:textId="107DE1CA" w:rsidR="00013B42" w:rsidRDefault="00013B42" w:rsidP="00645037">
      <w:pPr>
        <w:pStyle w:val="p"/>
      </w:pPr>
      <w:r w:rsidRPr="00257356">
        <w:t xml:space="preserve">In the decades that followed, dismay with such restrictions manifested itself in calls for the definition of genocide to be interpreted very broadly or, alternatively, to be amended. There was little in the way of similar initiatives concerning crimes against humanity because </w:t>
      </w:r>
      <w:proofErr w:type="gramStart"/>
      <w:r w:rsidR="00645037">
        <w:t>their repression was not yet governed by a prospective treaty of general applicatio</w:t>
      </w:r>
      <w:r w:rsidRPr="00257356">
        <w:t>n</w:t>
      </w:r>
      <w:proofErr w:type="gramEnd"/>
      <w:r w:rsidRPr="00257356">
        <w:t>.</w:t>
      </w:r>
      <w:r w:rsidR="00645037">
        <w:t xml:space="preserve"> </w:t>
      </w:r>
      <w:r w:rsidRPr="00257356">
        <w:t xml:space="preserve">When international criminal justice revived, in the 1990s, the impetus for expanding the scope of </w:t>
      </w:r>
      <w:r w:rsidR="00645037">
        <w:t xml:space="preserve">international atrocity </w:t>
      </w:r>
      <w:r w:rsidRPr="00257356">
        <w:t>crimes manifested itself in the enlargement of the definition of crimes against humanity and the extension of war crimes to situations of non-international armed conflict. The Rome Statute of 1998 confirmed this very dra</w:t>
      </w:r>
      <w:r w:rsidR="00645037">
        <w:t>matic legal evolution. P</w:t>
      </w:r>
      <w:r w:rsidRPr="00257356">
        <w:t xml:space="preserve">erhaps revolution is </w:t>
      </w:r>
      <w:r w:rsidR="00645037">
        <w:t xml:space="preserve">a </w:t>
      </w:r>
      <w:r w:rsidRPr="00257356">
        <w:t>more accurate</w:t>
      </w:r>
      <w:r w:rsidR="00645037">
        <w:t xml:space="preserve"> term</w:t>
      </w:r>
      <w:r w:rsidRPr="00257356">
        <w:t xml:space="preserve">. The impunity gap left by the initial codification of the 1940s was filled in the 1990s, but by </w:t>
      </w:r>
      <w:r w:rsidR="00962F9D">
        <w:t xml:space="preserve">a dramatic enlargement of the scope </w:t>
      </w:r>
      <w:r w:rsidRPr="00257356">
        <w:t>of crimes against humanity and war crimes rather than that of genocide.</w:t>
      </w:r>
      <w:r w:rsidR="00645037">
        <w:t xml:space="preserve"> </w:t>
      </w:r>
      <w:r w:rsidR="00645037" w:rsidRPr="00257356">
        <w:t xml:space="preserve">One consequence was to </w:t>
      </w:r>
      <w:r w:rsidR="00645037" w:rsidRPr="00257356">
        <w:lastRenderedPageBreak/>
        <w:t>relieve pressure to expand the definition of genocide, either through a</w:t>
      </w:r>
      <w:r w:rsidR="00645037">
        <w:t xml:space="preserve">mendment or by interpretation. </w:t>
      </w:r>
    </w:p>
    <w:p w14:paraId="11D2CB12" w14:textId="6E1A9A46" w:rsidR="00013B42" w:rsidRDefault="00013B42" w:rsidP="00B2312E">
      <w:pPr>
        <w:pStyle w:val="p"/>
      </w:pPr>
      <w:r w:rsidRPr="00257356">
        <w:t xml:space="preserve">When the Rome Statute was concluded in 1998, fifty years after the adoption of the Genocide Convention, there had been very little judicial interpretation of the crime of genocide by international courts and tribunals. The </w:t>
      </w:r>
      <w:r w:rsidR="00962F9D">
        <w:t>International Court of Justice</w:t>
      </w:r>
      <w:r w:rsidRPr="00257356">
        <w:t xml:space="preserve"> had discussed the substance of the crime but only in the most general terms in the 1951 Advisory Opinion.</w:t>
      </w:r>
      <w:r w:rsidR="00645037">
        <w:rPr>
          <w:rStyle w:val="FootnoteReference"/>
        </w:rPr>
        <w:footnoteReference w:id="123"/>
      </w:r>
      <w:r w:rsidRPr="00257356">
        <w:t xml:space="preserve"> There was also some </w:t>
      </w:r>
      <w:r w:rsidR="00F879CA">
        <w:t>limited consideration</w:t>
      </w:r>
      <w:r w:rsidR="00F879CA" w:rsidRPr="00257356">
        <w:t xml:space="preserve"> </w:t>
      </w:r>
      <w:r w:rsidRPr="00257356">
        <w:t xml:space="preserve">in the preliminary rulings in the </w:t>
      </w:r>
      <w:r w:rsidRPr="00257356">
        <w:rPr>
          <w:i/>
        </w:rPr>
        <w:t xml:space="preserve">Bosnia </w:t>
      </w:r>
      <w:r w:rsidRPr="00257356">
        <w:t xml:space="preserve">case. The </w:t>
      </w:r>
      <w:r w:rsidRPr="00257356">
        <w:rPr>
          <w:i/>
        </w:rPr>
        <w:t xml:space="preserve">ad hoc </w:t>
      </w:r>
      <w:r w:rsidRPr="00257356">
        <w:t xml:space="preserve">tribunals had yet to complete a trial where genocide was charged. </w:t>
      </w:r>
      <w:r w:rsidR="00962F9D">
        <w:t>However, s</w:t>
      </w:r>
      <w:r w:rsidRPr="00257356">
        <w:t xml:space="preserve">ince 1998, there has been a huge body of legal interpretation. This </w:t>
      </w:r>
      <w:r w:rsidR="00962F9D">
        <w:t>essay</w:t>
      </w:r>
      <w:r w:rsidRPr="00257356">
        <w:t xml:space="preserve"> has only deal</w:t>
      </w:r>
      <w:bookmarkStart w:id="2" w:name="_GoBack"/>
      <w:bookmarkEnd w:id="2"/>
      <w:r w:rsidRPr="00257356">
        <w:t>t with the most recent highlights, confining itself to decisions and judgments since the February 2007 ruling.</w:t>
      </w:r>
    </w:p>
    <w:p w14:paraId="7AF35918" w14:textId="6AB68412" w:rsidR="00013B42" w:rsidRPr="00962F9D" w:rsidRDefault="00013B42" w:rsidP="00962F9D">
      <w:pPr>
        <w:pStyle w:val="p"/>
        <w:rPr>
          <w:i/>
        </w:rPr>
      </w:pPr>
      <w:r w:rsidRPr="00257356">
        <w:t xml:space="preserve">The judgment of </w:t>
      </w:r>
      <w:r w:rsidR="003C4D19">
        <w:t>the International</w:t>
      </w:r>
      <w:r w:rsidRPr="00257356">
        <w:t xml:space="preserve"> Court</w:t>
      </w:r>
      <w:r w:rsidR="003C4D19">
        <w:t xml:space="preserve"> of Justice</w:t>
      </w:r>
      <w:r w:rsidRPr="00257356">
        <w:t xml:space="preserve"> in the </w:t>
      </w:r>
      <w:r w:rsidRPr="00257356">
        <w:rPr>
          <w:i/>
        </w:rPr>
        <w:t xml:space="preserve">Bosnia </w:t>
      </w:r>
      <w:r w:rsidRPr="00257356">
        <w:t xml:space="preserve">case of February 2007 had the effect of consolidating a process of </w:t>
      </w:r>
      <w:proofErr w:type="spellStart"/>
      <w:r w:rsidRPr="00257356">
        <w:t>stabilisation</w:t>
      </w:r>
      <w:proofErr w:type="spellEnd"/>
      <w:r w:rsidRPr="00257356">
        <w:t xml:space="preserve"> of the definition of genocide that had been underway for several years at the </w:t>
      </w:r>
      <w:r w:rsidRPr="00257356">
        <w:rPr>
          <w:i/>
        </w:rPr>
        <w:t xml:space="preserve">ad hoc </w:t>
      </w:r>
      <w:r w:rsidRPr="00257356">
        <w:t xml:space="preserve">tribunals. When the </w:t>
      </w:r>
      <w:r w:rsidRPr="00257356">
        <w:rPr>
          <w:i/>
        </w:rPr>
        <w:t xml:space="preserve">ad hoc </w:t>
      </w:r>
      <w:r w:rsidRPr="00257356">
        <w:t xml:space="preserve">tribunals began issuing judgments on the interpretation of the definition of genocide, there was initially no clarity about the direction this would take. For decades, there had been controversy resulting from the narrow scope of the definition in article 2 of the 1948 Convention. For </w:t>
      </w:r>
      <w:r w:rsidR="001528E4">
        <w:t>proponents</w:t>
      </w:r>
      <w:r w:rsidR="001528E4" w:rsidRPr="00257356">
        <w:t xml:space="preserve"> </w:t>
      </w:r>
      <w:r w:rsidRPr="00257356">
        <w:t xml:space="preserve">of a broad construction of the crime, there may have been some hope that this would be achieved through the work of the </w:t>
      </w:r>
      <w:r w:rsidRPr="00257356">
        <w:rPr>
          <w:i/>
        </w:rPr>
        <w:t xml:space="preserve">ad hoc </w:t>
      </w:r>
      <w:r w:rsidRPr="00257356">
        <w:t xml:space="preserve">tribunals. But this did not prove to be the case. The leading </w:t>
      </w:r>
      <w:r>
        <w:t xml:space="preserve">decision of the Appeals Chamber of the </w:t>
      </w:r>
      <w:r w:rsidR="00962F9D">
        <w:t>International Criminal Tribunal for the former Yugoslavia</w:t>
      </w:r>
      <w:r w:rsidRPr="00257356">
        <w:t xml:space="preserve">, in </w:t>
      </w:r>
      <w:proofErr w:type="spellStart"/>
      <w:r w:rsidRPr="00257356">
        <w:rPr>
          <w:i/>
        </w:rPr>
        <w:t>Krstić</w:t>
      </w:r>
      <w:proofErr w:type="spellEnd"/>
      <w:r w:rsidRPr="00257356">
        <w:rPr>
          <w:i/>
        </w:rPr>
        <w:t xml:space="preserve"> </w:t>
      </w:r>
      <w:r w:rsidRPr="00257356">
        <w:t>in April 2004, left no question about the direction that was being taken. A rear-guard effort by one Trial Chamber</w:t>
      </w:r>
      <w:r>
        <w:t xml:space="preserve">, </w:t>
      </w:r>
      <w:r w:rsidRPr="00257356">
        <w:t xml:space="preserve">in </w:t>
      </w:r>
      <w:proofErr w:type="spellStart"/>
      <w:r w:rsidRPr="00257356">
        <w:rPr>
          <w:i/>
        </w:rPr>
        <w:t>Blagojević</w:t>
      </w:r>
      <w:proofErr w:type="spellEnd"/>
      <w:r w:rsidRPr="00257356">
        <w:rPr>
          <w:i/>
        </w:rPr>
        <w:t xml:space="preserve"> and </w:t>
      </w:r>
      <w:proofErr w:type="spellStart"/>
      <w:r w:rsidRPr="00257356">
        <w:rPr>
          <w:i/>
        </w:rPr>
        <w:t>Jokić</w:t>
      </w:r>
      <w:proofErr w:type="spellEnd"/>
      <w:r>
        <w:t>,</w:t>
      </w:r>
      <w:r w:rsidRPr="00257356">
        <w:t xml:space="preserve"> to reverse the trend to</w:t>
      </w:r>
      <w:r>
        <w:t>wards</w:t>
      </w:r>
      <w:r w:rsidRPr="00257356">
        <w:t xml:space="preserve"> a relatively narrow and strict interpretation,</w:t>
      </w:r>
      <w:r>
        <w:t xml:space="preserve"> </w:t>
      </w:r>
      <w:r w:rsidRPr="00257356">
        <w:t>was quickly corrected by the Appeals Chamber. Although debates remain about some issues, the broad principles set out in the February 2007 judgment</w:t>
      </w:r>
      <w:r w:rsidR="00962F9D">
        <w:t xml:space="preserve"> of the International Court of Justice</w:t>
      </w:r>
      <w:r w:rsidRPr="00257356">
        <w:t xml:space="preserve"> made a great contribution to the consolidation of a body of law that is now relatively clear and, above all, foreseeable and predictable in its application and consequences. </w:t>
      </w:r>
      <w:r w:rsidR="00962F9D">
        <w:t xml:space="preserve">There were, to be sure, no surprises in the February 2015 ruling in </w:t>
      </w:r>
      <w:r w:rsidR="00962F9D">
        <w:rPr>
          <w:i/>
        </w:rPr>
        <w:t>Croatia v. Serbia</w:t>
      </w:r>
      <w:r w:rsidR="00962F9D">
        <w:t>. It confirmed and further enhanced the process of consolidation and stabilization in the judicial interpretation and application of the crime of genocide</w:t>
      </w:r>
      <w:r w:rsidR="00962F9D">
        <w:rPr>
          <w:i/>
        </w:rPr>
        <w:t>.</w:t>
      </w:r>
    </w:p>
    <w:sectPr w:rsidR="00013B42" w:rsidRPr="00962F9D" w:rsidSect="00FE78FF">
      <w:headerReference w:type="even" r:id="rId8"/>
      <w:headerReference w:type="default" r:id="rId9"/>
      <w:headerReference w:type="first" r:id="rId10"/>
      <w:pgSz w:w="11900" w:h="16840"/>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1824F" w14:textId="77777777" w:rsidR="00D10D54" w:rsidRDefault="00D10D54" w:rsidP="005B465C">
      <w:r>
        <w:separator/>
      </w:r>
    </w:p>
  </w:endnote>
  <w:endnote w:type="continuationSeparator" w:id="0">
    <w:p w14:paraId="49A8418C" w14:textId="77777777" w:rsidR="00D10D54" w:rsidRDefault="00D10D54" w:rsidP="005B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7" w:usb1="00000000" w:usb2="00000000" w:usb3="00000000" w:csb0="00000093" w:csb1="00000000"/>
  </w:font>
  <w:font w:name="Times New Roman Bold">
    <w:panose1 w:val="020208030705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98F7C" w14:textId="77777777" w:rsidR="00D10D54" w:rsidRDefault="00D10D54" w:rsidP="005B465C">
      <w:r>
        <w:separator/>
      </w:r>
    </w:p>
  </w:footnote>
  <w:footnote w:type="continuationSeparator" w:id="0">
    <w:p w14:paraId="50B28983" w14:textId="77777777" w:rsidR="00D10D54" w:rsidRDefault="00D10D54" w:rsidP="005B465C">
      <w:r>
        <w:continuationSeparator/>
      </w:r>
    </w:p>
  </w:footnote>
  <w:footnote w:id="1">
    <w:p w14:paraId="31831E99" w14:textId="77777777" w:rsidR="00D10D54" w:rsidRPr="00645037" w:rsidRDefault="00D10D54" w:rsidP="00645037">
      <w:pPr>
        <w:pStyle w:val="FootnoteText"/>
        <w:jc w:val="both"/>
        <w:rPr>
          <w:rFonts w:ascii="Times New Roman" w:hAnsi="Times New Roman"/>
          <w:i/>
          <w:sz w:val="20"/>
          <w:szCs w:val="20"/>
        </w:rPr>
      </w:pPr>
      <w:r w:rsidRPr="00645037">
        <w:rPr>
          <w:rStyle w:val="FootnoteReference"/>
          <w:rFonts w:ascii="Times New Roman" w:hAnsi="Times New Roman"/>
          <w:sz w:val="20"/>
          <w:szCs w:val="20"/>
        </w:rPr>
        <w:t>*</w:t>
      </w:r>
      <w:r w:rsidRPr="00645037">
        <w:rPr>
          <w:rFonts w:ascii="Times New Roman" w:hAnsi="Times New Roman"/>
          <w:sz w:val="20"/>
          <w:szCs w:val="20"/>
        </w:rPr>
        <w:t xml:space="preserve"> Professor of international law, Middlesex University, London; professor of international criminal law and human rights, Leiden University; </w:t>
      </w:r>
      <w:r w:rsidRPr="00645037">
        <w:rPr>
          <w:rFonts w:ascii="Times New Roman" w:hAnsi="Times New Roman"/>
          <w:i/>
          <w:sz w:val="20"/>
          <w:szCs w:val="20"/>
        </w:rPr>
        <w:t xml:space="preserve">emeritus </w:t>
      </w:r>
      <w:r w:rsidRPr="00645037">
        <w:rPr>
          <w:rFonts w:ascii="Times New Roman" w:hAnsi="Times New Roman"/>
          <w:sz w:val="20"/>
          <w:szCs w:val="20"/>
        </w:rPr>
        <w:t>professor of human rights law, National University of Ireland Galway.</w:t>
      </w:r>
    </w:p>
  </w:footnote>
  <w:footnote w:id="2">
    <w:p w14:paraId="2560467B" w14:textId="5F35AF90" w:rsidR="00D10D54" w:rsidRPr="00645037" w:rsidRDefault="00D10D54" w:rsidP="00645037">
      <w:pPr>
        <w:pStyle w:val="FootnoteText"/>
        <w:rPr>
          <w:rFonts w:ascii="Times New Roman" w:hAnsi="Times New Roman"/>
          <w:sz w:val="20"/>
          <w:szCs w:val="20"/>
          <w:lang w:val="en-US"/>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gramStart"/>
      <w:r w:rsidRPr="00645037">
        <w:rPr>
          <w:rStyle w:val="x-italic"/>
          <w:rFonts w:ascii="Times New Roman" w:hAnsi="Times New Roman"/>
          <w:sz w:val="20"/>
          <w:szCs w:val="20"/>
        </w:rPr>
        <w:t>Application of the Convention on the Prevention and Punishment of the Crime of Genocide (Bosnia and Herzegovina</w:t>
      </w:r>
      <w:r w:rsidRPr="00645037">
        <w:rPr>
          <w:rFonts w:ascii="Times New Roman" w:hAnsi="Times New Roman"/>
          <w:sz w:val="20"/>
          <w:szCs w:val="20"/>
        </w:rPr>
        <w:t xml:space="preserve"> v. </w:t>
      </w:r>
      <w:r w:rsidRPr="00645037">
        <w:rPr>
          <w:rStyle w:val="x-italic"/>
          <w:rFonts w:ascii="Times New Roman" w:hAnsi="Times New Roman"/>
          <w:sz w:val="20"/>
          <w:szCs w:val="20"/>
        </w:rPr>
        <w:t>Serbia and Montenegro)</w:t>
      </w:r>
      <w:r w:rsidRPr="00645037">
        <w:rPr>
          <w:rFonts w:ascii="Times New Roman" w:hAnsi="Times New Roman"/>
          <w:sz w:val="20"/>
          <w:szCs w:val="20"/>
        </w:rPr>
        <w:t xml:space="preserve">, </w:t>
      </w:r>
      <w:r w:rsidRPr="00645037">
        <w:rPr>
          <w:rFonts w:ascii="Times New Roman" w:eastAsia="Calibri" w:hAnsi="Times New Roman"/>
          <w:sz w:val="20"/>
          <w:szCs w:val="20"/>
        </w:rPr>
        <w:t>Judgment, I.C.J. Reports 2007.</w:t>
      </w:r>
      <w:proofErr w:type="gramEnd"/>
    </w:p>
  </w:footnote>
  <w:footnote w:id="3">
    <w:p w14:paraId="20CCB9C8" w14:textId="1CCA0B3D" w:rsidR="00D10D54" w:rsidRPr="00645037" w:rsidRDefault="00D10D54" w:rsidP="00645037">
      <w:pPr>
        <w:pStyle w:val="FootnoteText"/>
        <w:rPr>
          <w:rFonts w:ascii="Times New Roman" w:hAnsi="Times New Roman"/>
          <w:sz w:val="20"/>
          <w:szCs w:val="20"/>
          <w:lang w:val="en-US"/>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lang w:val="en-US" w:eastAsia="bg-BG"/>
        </w:rPr>
        <w:t>Application of the Convention on the Prevention and Punishment of the Crime of Genocide (Croatia v. Serbia)</w:t>
      </w:r>
      <w:r w:rsidRPr="00645037">
        <w:rPr>
          <w:rFonts w:ascii="Times New Roman" w:hAnsi="Times New Roman"/>
          <w:sz w:val="20"/>
          <w:szCs w:val="20"/>
          <w:lang w:val="en-US" w:eastAsia="bg-BG"/>
        </w:rPr>
        <w:t>, Judgment, 3 February 2015.</w:t>
      </w:r>
    </w:p>
  </w:footnote>
  <w:footnote w:id="4">
    <w:p w14:paraId="378A0B0D"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spellStart"/>
      <w:proofErr w:type="gramStart"/>
      <w:r w:rsidRPr="00645037">
        <w:rPr>
          <w:rFonts w:ascii="Times New Roman" w:hAnsi="Times New Roman"/>
          <w:i/>
          <w:iCs/>
          <w:sz w:val="20"/>
          <w:szCs w:val="20"/>
          <w:lang w:val="en-US"/>
        </w:rPr>
        <w:t>Jorgic</w:t>
      </w:r>
      <w:proofErr w:type="spellEnd"/>
      <w:r w:rsidRPr="00645037">
        <w:rPr>
          <w:rFonts w:ascii="Times New Roman" w:hAnsi="Times New Roman"/>
          <w:i/>
          <w:iCs/>
          <w:sz w:val="20"/>
          <w:szCs w:val="20"/>
          <w:lang w:val="en-US"/>
        </w:rPr>
        <w:t xml:space="preserve"> v. Germany, </w:t>
      </w:r>
      <w:r w:rsidRPr="00645037">
        <w:rPr>
          <w:rFonts w:ascii="Times New Roman" w:hAnsi="Times New Roman"/>
          <w:sz w:val="20"/>
          <w:szCs w:val="20"/>
          <w:lang w:val="en-US"/>
        </w:rPr>
        <w:t>no. 74613/01, § 112, ECHR 2007-III.</w:t>
      </w:r>
      <w:proofErr w:type="gramEnd"/>
    </w:p>
  </w:footnote>
  <w:footnote w:id="5">
    <w:p w14:paraId="45D6BD2D" w14:textId="61949283" w:rsidR="00D10D54" w:rsidRPr="00645037" w:rsidRDefault="00D10D54" w:rsidP="00645037">
      <w:pPr>
        <w:widowControl w:val="0"/>
        <w:autoSpaceDE w:val="0"/>
        <w:autoSpaceDN w:val="0"/>
        <w:adjustRightInd w:val="0"/>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iCs/>
          <w:sz w:val="20"/>
          <w:szCs w:val="20"/>
          <w:lang w:val="en-US"/>
        </w:rPr>
        <w:t>Ibid</w:t>
      </w:r>
      <w:proofErr w:type="gramStart"/>
      <w:r w:rsidRPr="00645037">
        <w:rPr>
          <w:rFonts w:ascii="Times New Roman" w:hAnsi="Times New Roman"/>
          <w:i/>
          <w:iCs/>
          <w:sz w:val="20"/>
          <w:szCs w:val="20"/>
          <w:lang w:val="en-US"/>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 45.</w:t>
      </w:r>
    </w:p>
  </w:footnote>
  <w:footnote w:id="6">
    <w:p w14:paraId="5A243DD0" w14:textId="5CDC9474"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iCs/>
          <w:sz w:val="20"/>
          <w:szCs w:val="20"/>
          <w:lang w:val="en-US"/>
        </w:rPr>
        <w:t>Ibid</w:t>
      </w:r>
      <w:proofErr w:type="gramStart"/>
      <w:r w:rsidRPr="00645037">
        <w:rPr>
          <w:rFonts w:ascii="Times New Roman" w:hAnsi="Times New Roman"/>
          <w:i/>
          <w:iCs/>
          <w:sz w:val="20"/>
          <w:szCs w:val="20"/>
          <w:lang w:val="en-US"/>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 112.</w:t>
      </w:r>
    </w:p>
  </w:footnote>
  <w:footnote w:id="7">
    <w:p w14:paraId="3B6445EE" w14:textId="26341044"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iCs/>
          <w:sz w:val="20"/>
          <w:szCs w:val="20"/>
          <w:lang w:val="en-US"/>
        </w:rPr>
        <w:t>Ibid</w:t>
      </w:r>
      <w:proofErr w:type="gramStart"/>
      <w:r w:rsidRPr="00645037">
        <w:rPr>
          <w:rFonts w:ascii="Times New Roman" w:hAnsi="Times New Roman"/>
          <w:i/>
          <w:iCs/>
          <w:sz w:val="20"/>
          <w:szCs w:val="20"/>
          <w:lang w:val="en-US"/>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 112.</w:t>
      </w:r>
    </w:p>
  </w:footnote>
  <w:footnote w:id="8">
    <w:p w14:paraId="10DB8E7C" w14:textId="77777777" w:rsidR="00D10D54" w:rsidRPr="00645037" w:rsidRDefault="00D10D54" w:rsidP="00645037">
      <w:pPr>
        <w:widowControl w:val="0"/>
        <w:autoSpaceDE w:val="0"/>
        <w:autoSpaceDN w:val="0"/>
        <w:adjustRightInd w:val="0"/>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spellStart"/>
      <w:proofErr w:type="gramStart"/>
      <w:r w:rsidRPr="00645037">
        <w:rPr>
          <w:rFonts w:ascii="Times New Roman" w:hAnsi="Times New Roman"/>
          <w:i/>
          <w:sz w:val="20"/>
          <w:szCs w:val="20"/>
          <w:lang w:val="en-US"/>
        </w:rPr>
        <w:t>Stichting</w:t>
      </w:r>
      <w:proofErr w:type="spellEnd"/>
      <w:r w:rsidRPr="00645037">
        <w:rPr>
          <w:rFonts w:ascii="Times New Roman" w:hAnsi="Times New Roman"/>
          <w:i/>
          <w:sz w:val="20"/>
          <w:szCs w:val="20"/>
          <w:lang w:val="en-US"/>
        </w:rPr>
        <w:t xml:space="preserve"> Mothers of Srebrenica and Others v. the Netherlands</w:t>
      </w:r>
      <w:r w:rsidRPr="00645037">
        <w:rPr>
          <w:rFonts w:ascii="Times New Roman" w:hAnsi="Times New Roman"/>
          <w:sz w:val="20"/>
          <w:szCs w:val="20"/>
          <w:lang w:val="en-US"/>
        </w:rPr>
        <w:t xml:space="preserve"> (</w:t>
      </w:r>
      <w:proofErr w:type="spellStart"/>
      <w:r w:rsidRPr="00645037">
        <w:rPr>
          <w:rFonts w:ascii="Times New Roman" w:hAnsi="Times New Roman"/>
          <w:sz w:val="20"/>
          <w:szCs w:val="20"/>
          <w:lang w:val="en-US"/>
        </w:rPr>
        <w:t>dec.</w:t>
      </w:r>
      <w:proofErr w:type="spellEnd"/>
      <w:r w:rsidRPr="00645037">
        <w:rPr>
          <w:rFonts w:ascii="Times New Roman" w:hAnsi="Times New Roman"/>
          <w:sz w:val="20"/>
          <w:szCs w:val="20"/>
          <w:lang w:val="en-US"/>
        </w:rPr>
        <w:t>), no. 65542/12, §§ 49-53, 11 June 2013.</w:t>
      </w:r>
      <w:proofErr w:type="gramEnd"/>
    </w:p>
  </w:footnote>
  <w:footnote w:id="9">
    <w:p w14:paraId="51F5E86A"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Cited at </w:t>
      </w:r>
      <w:proofErr w:type="spellStart"/>
      <w:r w:rsidRPr="00645037">
        <w:rPr>
          <w:rFonts w:ascii="Times New Roman" w:hAnsi="Times New Roman"/>
          <w:i/>
          <w:sz w:val="20"/>
          <w:szCs w:val="20"/>
          <w:lang w:val="en-US"/>
        </w:rPr>
        <w:t>Stichting</w:t>
      </w:r>
      <w:proofErr w:type="spellEnd"/>
      <w:r w:rsidRPr="00645037">
        <w:rPr>
          <w:rFonts w:ascii="Times New Roman" w:hAnsi="Times New Roman"/>
          <w:i/>
          <w:sz w:val="20"/>
          <w:szCs w:val="20"/>
          <w:lang w:val="en-US"/>
        </w:rPr>
        <w:t xml:space="preserve"> Mothers of Srebrenica and Others v. the Netherlands</w:t>
      </w:r>
      <w:r w:rsidRPr="00645037">
        <w:rPr>
          <w:rFonts w:ascii="Times New Roman" w:hAnsi="Times New Roman"/>
          <w:sz w:val="20"/>
          <w:szCs w:val="20"/>
          <w:lang w:val="en-US"/>
        </w:rPr>
        <w:t xml:space="preserve"> (</w:t>
      </w:r>
      <w:proofErr w:type="spellStart"/>
      <w:r w:rsidRPr="00645037">
        <w:rPr>
          <w:rFonts w:ascii="Times New Roman" w:hAnsi="Times New Roman"/>
          <w:sz w:val="20"/>
          <w:szCs w:val="20"/>
          <w:lang w:val="en-US"/>
        </w:rPr>
        <w:t>dec.</w:t>
      </w:r>
      <w:proofErr w:type="spellEnd"/>
      <w:r w:rsidRPr="00645037">
        <w:rPr>
          <w:rFonts w:ascii="Times New Roman" w:hAnsi="Times New Roman"/>
          <w:sz w:val="20"/>
          <w:szCs w:val="20"/>
          <w:lang w:val="en-US"/>
        </w:rPr>
        <w:t>), no. 65542/12, § 158, 11 June 2013.</w:t>
      </w:r>
    </w:p>
  </w:footnote>
  <w:footnote w:id="10">
    <w:p w14:paraId="61E1FB47" w14:textId="24697C8A" w:rsidR="00D10D54" w:rsidRPr="00645037" w:rsidRDefault="00D10D54" w:rsidP="00645037">
      <w:pPr>
        <w:widowControl w:val="0"/>
        <w:autoSpaceDE w:val="0"/>
        <w:autoSpaceDN w:val="0"/>
        <w:adjustRightInd w:val="0"/>
        <w:rPr>
          <w:rFonts w:ascii="Times New Roman" w:hAnsi="Times New Roman"/>
          <w:sz w:val="20"/>
          <w:szCs w:val="20"/>
          <w:lang w:val="en-US" w:eastAsia="bg-BG"/>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spellStart"/>
      <w:r w:rsidRPr="00645037">
        <w:rPr>
          <w:rFonts w:ascii="Times New Roman" w:hAnsi="Times New Roman"/>
          <w:i/>
          <w:iCs/>
          <w:sz w:val="20"/>
          <w:szCs w:val="20"/>
          <w:lang w:val="en-US" w:eastAsia="bg-BG"/>
        </w:rPr>
        <w:t>Perinçek</w:t>
      </w:r>
      <w:proofErr w:type="spellEnd"/>
      <w:r w:rsidRPr="00645037">
        <w:rPr>
          <w:rFonts w:ascii="Times New Roman" w:hAnsi="Times New Roman"/>
          <w:i/>
          <w:iCs/>
          <w:sz w:val="20"/>
          <w:szCs w:val="20"/>
          <w:lang w:val="en-US" w:eastAsia="bg-BG"/>
        </w:rPr>
        <w:t xml:space="preserve"> v. Switzerland</w:t>
      </w:r>
      <w:r w:rsidRPr="00645037">
        <w:rPr>
          <w:rFonts w:ascii="Times New Roman" w:hAnsi="Times New Roman"/>
          <w:sz w:val="20"/>
          <w:szCs w:val="20"/>
          <w:lang w:val="en-US" w:eastAsia="bg-BG"/>
        </w:rPr>
        <w:t xml:space="preserve">, no. 27510/08, </w:t>
      </w:r>
      <w:r w:rsidRPr="00645037">
        <w:rPr>
          <w:rFonts w:ascii="Times New Roman" w:hAnsi="Times New Roman"/>
          <w:sz w:val="20"/>
          <w:szCs w:val="20"/>
          <w:lang w:val="en-US"/>
        </w:rPr>
        <w:t xml:space="preserve">§§ </w:t>
      </w:r>
      <w:r w:rsidRPr="00645037">
        <w:rPr>
          <w:rFonts w:ascii="Times New Roman" w:hAnsi="Times New Roman"/>
          <w:sz w:val="20"/>
          <w:szCs w:val="20"/>
        </w:rPr>
        <w:t>23, 83, 116</w:t>
      </w:r>
      <w:r w:rsidRPr="00645037">
        <w:rPr>
          <w:rFonts w:ascii="Times New Roman" w:hAnsi="Times New Roman"/>
          <w:sz w:val="20"/>
          <w:szCs w:val="20"/>
          <w:lang w:val="en-US" w:eastAsia="bg-BG"/>
        </w:rPr>
        <w:t>, 17 December 2013.</w:t>
      </w:r>
    </w:p>
  </w:footnote>
  <w:footnote w:id="11">
    <w:p w14:paraId="3571CBA7" w14:textId="77777777" w:rsidR="00D10D54" w:rsidRPr="00645037" w:rsidRDefault="00D10D54" w:rsidP="00645037">
      <w:pPr>
        <w:widowControl w:val="0"/>
        <w:autoSpaceDE w:val="0"/>
        <w:autoSpaceDN w:val="0"/>
        <w:adjustRightInd w:val="0"/>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spellStart"/>
      <w:r w:rsidRPr="00645037">
        <w:rPr>
          <w:rFonts w:ascii="Times New Roman" w:hAnsi="Times New Roman"/>
          <w:i/>
          <w:iCs/>
          <w:sz w:val="20"/>
          <w:szCs w:val="20"/>
          <w:lang w:val="en-US"/>
        </w:rPr>
        <w:t>Catan</w:t>
      </w:r>
      <w:proofErr w:type="spellEnd"/>
      <w:r w:rsidRPr="00645037">
        <w:rPr>
          <w:rFonts w:ascii="Times New Roman" w:hAnsi="Times New Roman"/>
          <w:i/>
          <w:iCs/>
          <w:sz w:val="20"/>
          <w:szCs w:val="20"/>
          <w:lang w:val="en-US"/>
        </w:rPr>
        <w:t xml:space="preserve"> and Others v. the Republic of Moldova and Russia </w:t>
      </w:r>
      <w:r w:rsidRPr="00645037">
        <w:rPr>
          <w:rFonts w:ascii="Times New Roman" w:hAnsi="Times New Roman"/>
          <w:sz w:val="20"/>
          <w:szCs w:val="20"/>
          <w:lang w:val="en-US"/>
        </w:rPr>
        <w:t>[GC], nos. 43370/04, 8252/05 and 18454/06, §§ 76, 96, 115, 19 October 2012.</w:t>
      </w:r>
    </w:p>
  </w:footnote>
  <w:footnote w:id="12">
    <w:p w14:paraId="699E9EFB" w14:textId="77777777" w:rsidR="00D10D54" w:rsidRPr="00645037" w:rsidRDefault="00D10D54" w:rsidP="00645037">
      <w:pPr>
        <w:widowControl w:val="0"/>
        <w:autoSpaceDE w:val="0"/>
        <w:autoSpaceDN w:val="0"/>
        <w:adjustRightInd w:val="0"/>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spellStart"/>
      <w:r w:rsidRPr="00645037">
        <w:rPr>
          <w:rFonts w:ascii="Times New Roman" w:hAnsi="Times New Roman"/>
          <w:i/>
          <w:sz w:val="20"/>
          <w:szCs w:val="20"/>
          <w:lang w:val="fr-FR"/>
        </w:rPr>
        <w:t>Vallianatos</w:t>
      </w:r>
      <w:proofErr w:type="spellEnd"/>
      <w:r w:rsidRPr="00645037">
        <w:rPr>
          <w:rFonts w:ascii="Times New Roman" w:hAnsi="Times New Roman"/>
          <w:i/>
          <w:sz w:val="20"/>
          <w:szCs w:val="20"/>
          <w:lang w:val="fr-FR"/>
        </w:rPr>
        <w:t xml:space="preserve"> and </w:t>
      </w:r>
      <w:proofErr w:type="spellStart"/>
      <w:r w:rsidRPr="00645037">
        <w:rPr>
          <w:rFonts w:ascii="Times New Roman" w:hAnsi="Times New Roman"/>
          <w:i/>
          <w:sz w:val="20"/>
          <w:szCs w:val="20"/>
          <w:lang w:val="fr-FR"/>
        </w:rPr>
        <w:t>Others</w:t>
      </w:r>
      <w:proofErr w:type="spellEnd"/>
      <w:r w:rsidRPr="00645037">
        <w:rPr>
          <w:rFonts w:ascii="Times New Roman" w:hAnsi="Times New Roman"/>
          <w:i/>
          <w:sz w:val="20"/>
          <w:szCs w:val="20"/>
          <w:lang w:val="fr-FR"/>
        </w:rPr>
        <w:t xml:space="preserve"> v. </w:t>
      </w:r>
      <w:proofErr w:type="spellStart"/>
      <w:r w:rsidRPr="00645037">
        <w:rPr>
          <w:rFonts w:ascii="Times New Roman" w:hAnsi="Times New Roman"/>
          <w:i/>
          <w:sz w:val="20"/>
          <w:szCs w:val="20"/>
          <w:lang w:val="fr-FR"/>
        </w:rPr>
        <w:t>Greece</w:t>
      </w:r>
      <w:proofErr w:type="spellEnd"/>
      <w:r w:rsidRPr="00645037">
        <w:rPr>
          <w:rFonts w:ascii="Times New Roman" w:hAnsi="Times New Roman"/>
          <w:i/>
          <w:sz w:val="20"/>
          <w:szCs w:val="20"/>
          <w:lang w:val="fr-FR"/>
        </w:rPr>
        <w:t xml:space="preserve"> </w:t>
      </w:r>
      <w:r w:rsidRPr="00645037">
        <w:rPr>
          <w:rFonts w:ascii="Times New Roman" w:hAnsi="Times New Roman"/>
          <w:sz w:val="20"/>
          <w:szCs w:val="20"/>
          <w:lang w:val="en-US"/>
        </w:rPr>
        <w:t>[GC]</w:t>
      </w:r>
      <w:r w:rsidRPr="00645037">
        <w:rPr>
          <w:rFonts w:ascii="Times New Roman" w:hAnsi="Times New Roman"/>
          <w:sz w:val="20"/>
          <w:szCs w:val="20"/>
          <w:lang w:val="fr-FR"/>
        </w:rPr>
        <w:t xml:space="preserve">, nos. </w:t>
      </w:r>
      <w:proofErr w:type="gramStart"/>
      <w:r w:rsidRPr="00645037">
        <w:rPr>
          <w:rFonts w:ascii="Times New Roman" w:hAnsi="Times New Roman"/>
          <w:sz w:val="20"/>
          <w:szCs w:val="20"/>
          <w:lang w:val="en-US"/>
        </w:rPr>
        <w:t>29381/09 and 32684/09, Partly Concurring, Partly Dissenting Opinion of Judge Pinto de Albuquerque, 7 November 2013.</w:t>
      </w:r>
      <w:proofErr w:type="gramEnd"/>
    </w:p>
  </w:footnote>
  <w:footnote w:id="13">
    <w:p w14:paraId="0D826A92" w14:textId="40301AD5" w:rsidR="00D10D54" w:rsidRPr="00645037" w:rsidRDefault="00D10D54" w:rsidP="00645037">
      <w:pPr>
        <w:widowControl w:val="0"/>
        <w:autoSpaceDE w:val="0"/>
        <w:autoSpaceDN w:val="0"/>
        <w:adjustRightInd w:val="0"/>
        <w:rPr>
          <w:rFonts w:ascii="Times New Roman" w:hAnsi="Times New Roman"/>
          <w:sz w:val="20"/>
          <w:szCs w:val="20"/>
          <w:lang w:val="en-US" w:eastAsia="bg-BG"/>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spellStart"/>
      <w:r w:rsidRPr="00645037">
        <w:rPr>
          <w:rFonts w:ascii="Times New Roman" w:hAnsi="Times New Roman"/>
          <w:i/>
          <w:sz w:val="20"/>
          <w:szCs w:val="20"/>
        </w:rPr>
        <w:t>Perinçek</w:t>
      </w:r>
      <w:proofErr w:type="spellEnd"/>
      <w:r w:rsidRPr="00645037">
        <w:rPr>
          <w:rFonts w:ascii="Times New Roman" w:hAnsi="Times New Roman"/>
          <w:i/>
          <w:sz w:val="20"/>
          <w:szCs w:val="20"/>
        </w:rPr>
        <w:t xml:space="preserve"> v. Switzerland </w:t>
      </w:r>
      <w:r w:rsidRPr="00645037">
        <w:rPr>
          <w:rFonts w:ascii="Times New Roman" w:hAnsi="Times New Roman"/>
          <w:sz w:val="20"/>
          <w:szCs w:val="20"/>
          <w:lang w:val="en-US"/>
        </w:rPr>
        <w:t xml:space="preserve">[GC], </w:t>
      </w:r>
      <w:r w:rsidRPr="00645037">
        <w:rPr>
          <w:rFonts w:ascii="Times New Roman" w:hAnsi="Times New Roman"/>
          <w:sz w:val="20"/>
          <w:szCs w:val="20"/>
        </w:rPr>
        <w:t xml:space="preserve">no. </w:t>
      </w:r>
      <w:r w:rsidRPr="00645037">
        <w:rPr>
          <w:rFonts w:ascii="Times New Roman" w:hAnsi="Times New Roman"/>
          <w:sz w:val="20"/>
          <w:szCs w:val="20"/>
          <w:lang w:val="en-US"/>
        </w:rPr>
        <w:t>27510/08</w:t>
      </w:r>
      <w:r w:rsidRPr="00645037">
        <w:rPr>
          <w:rFonts w:ascii="Times New Roman" w:hAnsi="Times New Roman"/>
          <w:sz w:val="20"/>
          <w:szCs w:val="20"/>
        </w:rPr>
        <w:t xml:space="preserve">, 15 October 2015; </w:t>
      </w:r>
      <w:proofErr w:type="spellStart"/>
      <w:r w:rsidRPr="00645037">
        <w:rPr>
          <w:rFonts w:ascii="Times New Roman" w:hAnsi="Times New Roman"/>
          <w:i/>
          <w:sz w:val="20"/>
          <w:szCs w:val="20"/>
        </w:rPr>
        <w:t>Vasiliauskas</w:t>
      </w:r>
      <w:proofErr w:type="spellEnd"/>
      <w:r w:rsidRPr="00645037">
        <w:rPr>
          <w:rFonts w:ascii="Times New Roman" w:hAnsi="Times New Roman"/>
          <w:i/>
          <w:sz w:val="20"/>
          <w:szCs w:val="20"/>
        </w:rPr>
        <w:t xml:space="preserve"> v. Lithuania</w:t>
      </w:r>
      <w:r w:rsidRPr="00645037">
        <w:rPr>
          <w:rFonts w:ascii="Times New Roman" w:hAnsi="Times New Roman"/>
          <w:sz w:val="20"/>
          <w:szCs w:val="20"/>
        </w:rPr>
        <w:t xml:space="preserve">, </w:t>
      </w:r>
      <w:r w:rsidRPr="00645037">
        <w:rPr>
          <w:rFonts w:ascii="Times New Roman" w:hAnsi="Times New Roman"/>
          <w:sz w:val="20"/>
          <w:szCs w:val="20"/>
          <w:lang w:val="en-US"/>
        </w:rPr>
        <w:t>[GC],</w:t>
      </w:r>
      <w:r w:rsidRPr="00645037">
        <w:rPr>
          <w:rFonts w:ascii="Times New Roman" w:hAnsi="Times New Roman"/>
          <w:sz w:val="20"/>
          <w:szCs w:val="20"/>
        </w:rPr>
        <w:t xml:space="preserve"> no. </w:t>
      </w:r>
      <w:r w:rsidRPr="00645037">
        <w:rPr>
          <w:rFonts w:ascii="Times New Roman" w:hAnsi="Times New Roman"/>
          <w:iCs/>
          <w:sz w:val="20"/>
          <w:szCs w:val="20"/>
          <w:lang w:val="en-US" w:eastAsia="bg-BG"/>
        </w:rPr>
        <w:t>35343/05</w:t>
      </w:r>
      <w:r w:rsidRPr="00645037">
        <w:rPr>
          <w:rFonts w:ascii="Times New Roman" w:hAnsi="Times New Roman"/>
          <w:sz w:val="20"/>
          <w:szCs w:val="20"/>
          <w:lang w:val="en-US" w:eastAsia="bg-BG"/>
        </w:rPr>
        <w:t>, 20 November 2015.</w:t>
      </w:r>
    </w:p>
  </w:footnote>
  <w:footnote w:id="14">
    <w:p w14:paraId="0545F0CF"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spellStart"/>
      <w:proofErr w:type="gramStart"/>
      <w:r w:rsidRPr="00645037">
        <w:rPr>
          <w:rFonts w:ascii="Times New Roman" w:hAnsi="Times New Roman"/>
          <w:i/>
          <w:sz w:val="20"/>
          <w:szCs w:val="20"/>
          <w:lang w:val="en-US"/>
        </w:rPr>
        <w:t>Simba</w:t>
      </w:r>
      <w:proofErr w:type="spellEnd"/>
      <w:r w:rsidRPr="00645037">
        <w:rPr>
          <w:rFonts w:ascii="Times New Roman" w:hAnsi="Times New Roman"/>
          <w:i/>
          <w:sz w:val="20"/>
          <w:szCs w:val="20"/>
          <w:lang w:val="en-US"/>
        </w:rPr>
        <w:t xml:space="preserve"> v. Prosecutor </w:t>
      </w:r>
      <w:r w:rsidRPr="00645037">
        <w:rPr>
          <w:rFonts w:ascii="Times New Roman" w:hAnsi="Times New Roman"/>
          <w:sz w:val="20"/>
          <w:szCs w:val="20"/>
          <w:lang w:val="en-US"/>
        </w:rPr>
        <w:t xml:space="preserve">(ICTR-01-76-A), Judgment, 27 November 2007, </w:t>
      </w:r>
      <w:proofErr w:type="spellStart"/>
      <w:r w:rsidRPr="00645037">
        <w:rPr>
          <w:rFonts w:ascii="Times New Roman" w:hAnsi="Times New Roman"/>
          <w:sz w:val="20"/>
          <w:szCs w:val="20"/>
          <w:lang w:val="en-US"/>
        </w:rPr>
        <w:t>paras</w:t>
      </w:r>
      <w:proofErr w:type="spellEnd"/>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 xml:space="preserve">256-270; </w:t>
      </w:r>
      <w:proofErr w:type="spellStart"/>
      <w:r w:rsidRPr="00645037">
        <w:rPr>
          <w:rFonts w:ascii="Times New Roman" w:hAnsi="Times New Roman"/>
          <w:i/>
          <w:sz w:val="20"/>
          <w:szCs w:val="20"/>
          <w:lang w:val="en-US"/>
        </w:rPr>
        <w:t>Bagosora</w:t>
      </w:r>
      <w:proofErr w:type="spellEnd"/>
      <w:r w:rsidRPr="00645037">
        <w:rPr>
          <w:rFonts w:ascii="Times New Roman" w:hAnsi="Times New Roman"/>
          <w:i/>
          <w:sz w:val="20"/>
          <w:szCs w:val="20"/>
          <w:lang w:val="en-US"/>
        </w:rPr>
        <w:t xml:space="preserve"> and </w:t>
      </w:r>
      <w:proofErr w:type="spellStart"/>
      <w:r w:rsidRPr="00645037">
        <w:rPr>
          <w:rFonts w:ascii="Times New Roman" w:hAnsi="Times New Roman"/>
          <w:i/>
          <w:sz w:val="20"/>
          <w:szCs w:val="20"/>
          <w:lang w:val="en-US"/>
        </w:rPr>
        <w:t>Nsengiyumva</w:t>
      </w:r>
      <w:proofErr w:type="spellEnd"/>
      <w:r w:rsidRPr="00645037">
        <w:rPr>
          <w:rFonts w:ascii="Times New Roman" w:hAnsi="Times New Roman"/>
          <w:i/>
          <w:sz w:val="20"/>
          <w:szCs w:val="20"/>
          <w:lang w:val="en-US"/>
        </w:rPr>
        <w:t xml:space="preserve"> v. Prosecutor </w:t>
      </w:r>
      <w:r w:rsidRPr="00645037">
        <w:rPr>
          <w:rFonts w:ascii="Times New Roman" w:hAnsi="Times New Roman"/>
          <w:sz w:val="20"/>
          <w:szCs w:val="20"/>
          <w:lang w:val="en-US"/>
        </w:rPr>
        <w:t xml:space="preserve">(ICTR-98-41-A), Judgment, 14 December 2011, </w:t>
      </w:r>
      <w:proofErr w:type="spellStart"/>
      <w:r w:rsidRPr="00645037">
        <w:rPr>
          <w:rFonts w:ascii="Times New Roman" w:hAnsi="Times New Roman"/>
          <w:sz w:val="20"/>
          <w:szCs w:val="20"/>
          <w:lang w:val="en-US"/>
        </w:rPr>
        <w:t>paras</w:t>
      </w:r>
      <w:proofErr w:type="spellEnd"/>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382-386</w:t>
      </w:r>
      <w:r w:rsidRPr="00645037">
        <w:rPr>
          <w:rFonts w:ascii="Times New Roman" w:hAnsi="Times New Roman"/>
          <w:i/>
          <w:iCs/>
          <w:sz w:val="20"/>
          <w:szCs w:val="20"/>
          <w:lang w:val="en-US"/>
        </w:rPr>
        <w:t>.</w:t>
      </w:r>
    </w:p>
  </w:footnote>
  <w:footnote w:id="15">
    <w:p w14:paraId="6733DEB5"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spellStart"/>
      <w:r w:rsidRPr="00645037">
        <w:rPr>
          <w:rFonts w:ascii="Times New Roman" w:hAnsi="Times New Roman"/>
          <w:i/>
          <w:iCs/>
          <w:sz w:val="20"/>
          <w:szCs w:val="20"/>
          <w:lang w:val="en-US"/>
        </w:rPr>
        <w:t>Karera</w:t>
      </w:r>
      <w:proofErr w:type="spellEnd"/>
      <w:r w:rsidRPr="00645037">
        <w:rPr>
          <w:rFonts w:ascii="Times New Roman" w:hAnsi="Times New Roman"/>
          <w:i/>
          <w:iCs/>
          <w:sz w:val="20"/>
          <w:szCs w:val="20"/>
          <w:lang w:val="en-US"/>
        </w:rPr>
        <w:t xml:space="preserve"> v. Prosecutor</w:t>
      </w:r>
      <w:r w:rsidRPr="00645037">
        <w:rPr>
          <w:rFonts w:ascii="Times New Roman" w:hAnsi="Times New Roman"/>
          <w:iCs/>
          <w:sz w:val="20"/>
          <w:szCs w:val="20"/>
          <w:lang w:val="en-US"/>
        </w:rPr>
        <w:t xml:space="preserve"> (ICTR-01-74-A), Judgment, 2 February 2009; </w:t>
      </w:r>
      <w:proofErr w:type="spellStart"/>
      <w:r w:rsidRPr="00645037">
        <w:rPr>
          <w:rFonts w:ascii="Times New Roman" w:hAnsi="Times New Roman"/>
          <w:i/>
          <w:iCs/>
          <w:sz w:val="20"/>
          <w:szCs w:val="20"/>
          <w:lang w:val="en-US"/>
        </w:rPr>
        <w:t>Bikindi</w:t>
      </w:r>
      <w:proofErr w:type="spellEnd"/>
      <w:r w:rsidRPr="00645037">
        <w:rPr>
          <w:rFonts w:ascii="Times New Roman" w:hAnsi="Times New Roman"/>
          <w:i/>
          <w:iCs/>
          <w:sz w:val="20"/>
          <w:szCs w:val="20"/>
          <w:lang w:val="en-US"/>
        </w:rPr>
        <w:t xml:space="preserve"> v. Prosecutor </w:t>
      </w:r>
      <w:r w:rsidRPr="00645037">
        <w:rPr>
          <w:rFonts w:ascii="Times New Roman" w:hAnsi="Times New Roman"/>
          <w:iCs/>
          <w:sz w:val="20"/>
          <w:szCs w:val="20"/>
          <w:lang w:val="en-US"/>
        </w:rPr>
        <w:t>(ICTR-</w:t>
      </w:r>
      <w:r w:rsidRPr="00645037">
        <w:rPr>
          <w:rFonts w:ascii="Times New Roman" w:hAnsi="Times New Roman"/>
          <w:sz w:val="20"/>
          <w:szCs w:val="20"/>
          <w:lang w:val="en-US"/>
        </w:rPr>
        <w:t xml:space="preserve">01-72-A), Judgment, 18 March 2010; </w:t>
      </w:r>
      <w:r w:rsidRPr="00645037">
        <w:rPr>
          <w:rFonts w:ascii="Times New Roman" w:hAnsi="Times New Roman"/>
          <w:i/>
          <w:iCs/>
          <w:sz w:val="20"/>
          <w:szCs w:val="20"/>
          <w:lang w:val="en-US"/>
        </w:rPr>
        <w:t xml:space="preserve">Prosecutor v. </w:t>
      </w:r>
      <w:proofErr w:type="spellStart"/>
      <w:r w:rsidRPr="00645037">
        <w:rPr>
          <w:rFonts w:ascii="Times New Roman" w:hAnsi="Times New Roman"/>
          <w:i/>
          <w:iCs/>
          <w:sz w:val="20"/>
          <w:szCs w:val="20"/>
          <w:lang w:val="en-US"/>
        </w:rPr>
        <w:t>Rukundo</w:t>
      </w:r>
      <w:proofErr w:type="spellEnd"/>
      <w:r w:rsidRPr="00645037">
        <w:rPr>
          <w:rFonts w:ascii="Times New Roman" w:hAnsi="Times New Roman"/>
          <w:i/>
          <w:iCs/>
          <w:sz w:val="20"/>
          <w:szCs w:val="20"/>
          <w:lang w:val="en-US"/>
        </w:rPr>
        <w:t xml:space="preserve"> </w:t>
      </w:r>
      <w:r w:rsidRPr="00645037">
        <w:rPr>
          <w:rFonts w:ascii="Times New Roman" w:hAnsi="Times New Roman"/>
          <w:iCs/>
          <w:sz w:val="20"/>
          <w:szCs w:val="20"/>
          <w:lang w:val="en-US"/>
        </w:rPr>
        <w:t>(</w:t>
      </w:r>
      <w:r w:rsidRPr="00645037">
        <w:rPr>
          <w:rFonts w:ascii="Times New Roman" w:hAnsi="Times New Roman"/>
          <w:sz w:val="20"/>
          <w:szCs w:val="20"/>
          <w:lang w:val="en-US"/>
        </w:rPr>
        <w:t xml:space="preserve">ICTR-2001-70-A), Judgment, 20 October 2010; </w:t>
      </w:r>
      <w:proofErr w:type="spellStart"/>
      <w:r w:rsidRPr="00645037">
        <w:rPr>
          <w:rFonts w:ascii="Times New Roman" w:hAnsi="Times New Roman"/>
          <w:i/>
          <w:sz w:val="20"/>
          <w:szCs w:val="20"/>
          <w:lang w:val="en-US"/>
        </w:rPr>
        <w:t>Zigiranyirazo</w:t>
      </w:r>
      <w:proofErr w:type="spellEnd"/>
      <w:r w:rsidRPr="00645037">
        <w:rPr>
          <w:rFonts w:ascii="Times New Roman" w:hAnsi="Times New Roman"/>
          <w:i/>
          <w:sz w:val="20"/>
          <w:szCs w:val="20"/>
          <w:lang w:val="en-US"/>
        </w:rPr>
        <w:t xml:space="preserve"> v. Prosecutor </w:t>
      </w:r>
      <w:r w:rsidRPr="00645037">
        <w:rPr>
          <w:rFonts w:ascii="Times New Roman" w:hAnsi="Times New Roman"/>
          <w:sz w:val="20"/>
          <w:szCs w:val="20"/>
          <w:lang w:val="en-US"/>
        </w:rPr>
        <w:t xml:space="preserve">(ICTR-01-73-A), Judgment, 18 December 2010; </w:t>
      </w:r>
      <w:proofErr w:type="spellStart"/>
      <w:r w:rsidRPr="00645037">
        <w:rPr>
          <w:rFonts w:ascii="Times New Roman" w:hAnsi="Times New Roman"/>
          <w:i/>
          <w:iCs/>
          <w:sz w:val="20"/>
          <w:szCs w:val="20"/>
          <w:lang w:val="en-US"/>
        </w:rPr>
        <w:t>Muvunyi</w:t>
      </w:r>
      <w:proofErr w:type="spellEnd"/>
      <w:r w:rsidRPr="00645037">
        <w:rPr>
          <w:rFonts w:ascii="Times New Roman" w:hAnsi="Times New Roman"/>
          <w:i/>
          <w:iCs/>
          <w:sz w:val="20"/>
          <w:szCs w:val="20"/>
          <w:lang w:val="en-US"/>
        </w:rPr>
        <w:t xml:space="preserve"> v. Prosecutor </w:t>
      </w:r>
      <w:r w:rsidRPr="00645037">
        <w:rPr>
          <w:rFonts w:ascii="Times New Roman" w:hAnsi="Times New Roman"/>
          <w:iCs/>
          <w:sz w:val="20"/>
          <w:szCs w:val="20"/>
          <w:lang w:val="en-US"/>
        </w:rPr>
        <w:t>(I</w:t>
      </w:r>
      <w:r w:rsidRPr="00645037">
        <w:rPr>
          <w:rFonts w:ascii="Times New Roman" w:hAnsi="Times New Roman"/>
          <w:bCs/>
          <w:iCs/>
          <w:sz w:val="20"/>
          <w:szCs w:val="20"/>
          <w:lang w:val="en-US"/>
        </w:rPr>
        <w:t>CTR-2000-55A-A),</w:t>
      </w:r>
      <w:r w:rsidRPr="00645037">
        <w:rPr>
          <w:rFonts w:ascii="Times New Roman" w:hAnsi="Times New Roman"/>
          <w:b/>
          <w:bCs/>
          <w:i/>
          <w:iCs/>
          <w:sz w:val="20"/>
          <w:szCs w:val="20"/>
          <w:lang w:val="en-US"/>
        </w:rPr>
        <w:t xml:space="preserve"> </w:t>
      </w:r>
      <w:r w:rsidRPr="00645037">
        <w:rPr>
          <w:rFonts w:ascii="Times New Roman" w:hAnsi="Times New Roman"/>
          <w:sz w:val="20"/>
          <w:szCs w:val="20"/>
          <w:lang w:val="en-US"/>
        </w:rPr>
        <w:t xml:space="preserve">Judgment, 1 April 2011; </w:t>
      </w:r>
      <w:proofErr w:type="spellStart"/>
      <w:r w:rsidRPr="00645037">
        <w:rPr>
          <w:rFonts w:ascii="Times New Roman" w:hAnsi="Times New Roman"/>
          <w:i/>
          <w:sz w:val="20"/>
          <w:szCs w:val="20"/>
          <w:lang w:val="en-US"/>
        </w:rPr>
        <w:t>Mugenzi</w:t>
      </w:r>
      <w:proofErr w:type="spellEnd"/>
      <w:r w:rsidRPr="00645037">
        <w:rPr>
          <w:rFonts w:ascii="Times New Roman" w:hAnsi="Times New Roman"/>
          <w:i/>
          <w:sz w:val="20"/>
          <w:szCs w:val="20"/>
          <w:lang w:val="en-US"/>
        </w:rPr>
        <w:t xml:space="preserve"> and </w:t>
      </w:r>
      <w:proofErr w:type="spellStart"/>
      <w:r w:rsidRPr="00645037">
        <w:rPr>
          <w:rFonts w:ascii="Times New Roman" w:hAnsi="Times New Roman"/>
          <w:i/>
          <w:sz w:val="20"/>
          <w:szCs w:val="20"/>
          <w:lang w:val="en-US"/>
        </w:rPr>
        <w:t>Mugiraneza</w:t>
      </w:r>
      <w:proofErr w:type="spellEnd"/>
      <w:r w:rsidRPr="00645037">
        <w:rPr>
          <w:rFonts w:ascii="Times New Roman" w:hAnsi="Times New Roman"/>
          <w:i/>
          <w:sz w:val="20"/>
          <w:szCs w:val="20"/>
          <w:lang w:val="en-US"/>
        </w:rPr>
        <w:t xml:space="preserve"> v. Prosecutor</w:t>
      </w:r>
      <w:r w:rsidRPr="00645037">
        <w:rPr>
          <w:rFonts w:ascii="Times New Roman" w:hAnsi="Times New Roman"/>
          <w:sz w:val="20"/>
          <w:szCs w:val="20"/>
          <w:lang w:val="en-US"/>
        </w:rPr>
        <w:t xml:space="preserve"> (</w:t>
      </w:r>
      <w:r w:rsidRPr="00645037">
        <w:rPr>
          <w:rFonts w:ascii="Times New Roman" w:hAnsi="Times New Roman"/>
          <w:iCs/>
          <w:sz w:val="20"/>
          <w:szCs w:val="20"/>
          <w:lang w:val="en-US"/>
        </w:rPr>
        <w:t>ICTR-99-50-A), Judgment, 4 February 2013</w:t>
      </w:r>
      <w:r w:rsidRPr="00645037">
        <w:rPr>
          <w:rFonts w:ascii="Times New Roman" w:hAnsi="Times New Roman"/>
          <w:sz w:val="20"/>
          <w:szCs w:val="20"/>
          <w:lang w:val="en-US"/>
        </w:rPr>
        <w:t>.</w:t>
      </w:r>
    </w:p>
  </w:footnote>
  <w:footnote w:id="16">
    <w:p w14:paraId="4BF3B7B8" w14:textId="77777777" w:rsidR="00D10D54" w:rsidRPr="00645037" w:rsidRDefault="00D10D54" w:rsidP="00645037">
      <w:pPr>
        <w:jc w:val="both"/>
        <w:outlineLvl w:val="0"/>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gramStart"/>
      <w:r w:rsidRPr="00645037">
        <w:rPr>
          <w:rFonts w:ascii="Times New Roman" w:hAnsi="Times New Roman"/>
          <w:i/>
          <w:iCs/>
          <w:sz w:val="20"/>
          <w:szCs w:val="20"/>
          <w:lang w:val="en-US"/>
        </w:rPr>
        <w:t xml:space="preserve">Prosecutor v. François </w:t>
      </w:r>
      <w:proofErr w:type="spellStart"/>
      <w:r w:rsidRPr="00645037">
        <w:rPr>
          <w:rFonts w:ascii="Times New Roman" w:hAnsi="Times New Roman"/>
          <w:i/>
          <w:iCs/>
          <w:sz w:val="20"/>
          <w:szCs w:val="20"/>
          <w:lang w:val="en-US"/>
        </w:rPr>
        <w:t>Karera</w:t>
      </w:r>
      <w:proofErr w:type="spellEnd"/>
      <w:r w:rsidRPr="00645037">
        <w:rPr>
          <w:rFonts w:ascii="Times New Roman" w:hAnsi="Times New Roman"/>
          <w:i/>
          <w:iCs/>
          <w:sz w:val="20"/>
          <w:szCs w:val="20"/>
          <w:lang w:val="en-US"/>
        </w:rPr>
        <w:t xml:space="preserve"> </w:t>
      </w:r>
      <w:r w:rsidRPr="00645037">
        <w:rPr>
          <w:rFonts w:ascii="Times New Roman" w:hAnsi="Times New Roman"/>
          <w:iCs/>
          <w:sz w:val="20"/>
          <w:szCs w:val="20"/>
          <w:lang w:val="en-US"/>
        </w:rPr>
        <w:t xml:space="preserve">(ICTR-01-74-T), Judgment and Sentence, 7 December 2007, </w:t>
      </w:r>
      <w:proofErr w:type="spellStart"/>
      <w:r w:rsidRPr="00645037">
        <w:rPr>
          <w:rFonts w:ascii="Times New Roman" w:hAnsi="Times New Roman"/>
          <w:iCs/>
          <w:sz w:val="20"/>
          <w:szCs w:val="20"/>
          <w:lang w:val="en-US"/>
        </w:rPr>
        <w:t>paras</w:t>
      </w:r>
      <w:proofErr w:type="spellEnd"/>
      <w:r w:rsidRPr="00645037">
        <w:rPr>
          <w:rFonts w:ascii="Times New Roman" w:hAnsi="Times New Roman"/>
          <w:iCs/>
          <w:sz w:val="20"/>
          <w:szCs w:val="20"/>
          <w:lang w:val="en-US"/>
        </w:rPr>
        <w:t>.</w:t>
      </w:r>
      <w:proofErr w:type="gramEnd"/>
      <w:r w:rsidRPr="00645037">
        <w:rPr>
          <w:rFonts w:ascii="Times New Roman" w:hAnsi="Times New Roman"/>
          <w:iCs/>
          <w:sz w:val="20"/>
          <w:szCs w:val="20"/>
          <w:lang w:val="en-US"/>
        </w:rPr>
        <w:t xml:space="preserve"> </w:t>
      </w:r>
      <w:proofErr w:type="gramStart"/>
      <w:r w:rsidRPr="00645037">
        <w:rPr>
          <w:rFonts w:ascii="Times New Roman" w:hAnsi="Times New Roman"/>
          <w:sz w:val="20"/>
          <w:szCs w:val="20"/>
          <w:lang w:val="en-US"/>
        </w:rPr>
        <w:t xml:space="preserve">533-549; </w:t>
      </w:r>
      <w:r w:rsidRPr="00645037">
        <w:rPr>
          <w:rFonts w:ascii="Times New Roman" w:hAnsi="Times New Roman"/>
          <w:i/>
          <w:iCs/>
          <w:sz w:val="20"/>
          <w:szCs w:val="20"/>
          <w:lang w:val="en-US"/>
        </w:rPr>
        <w:t xml:space="preserve">Prosecutor v. </w:t>
      </w:r>
      <w:proofErr w:type="spellStart"/>
      <w:r w:rsidRPr="00645037">
        <w:rPr>
          <w:rFonts w:ascii="Times New Roman" w:hAnsi="Times New Roman"/>
          <w:i/>
          <w:iCs/>
          <w:sz w:val="20"/>
          <w:szCs w:val="20"/>
          <w:lang w:val="en-US"/>
        </w:rPr>
        <w:t>Nchamihigo</w:t>
      </w:r>
      <w:proofErr w:type="spellEnd"/>
      <w:r w:rsidRPr="00645037">
        <w:rPr>
          <w:rFonts w:ascii="Times New Roman" w:hAnsi="Times New Roman"/>
          <w:i/>
          <w:iCs/>
          <w:sz w:val="20"/>
          <w:szCs w:val="20"/>
          <w:lang w:val="en-US"/>
        </w:rPr>
        <w:t xml:space="preserve"> </w:t>
      </w:r>
      <w:r w:rsidRPr="00645037">
        <w:rPr>
          <w:rFonts w:ascii="Times New Roman" w:hAnsi="Times New Roman"/>
          <w:sz w:val="20"/>
          <w:szCs w:val="20"/>
          <w:lang w:val="en-US"/>
        </w:rPr>
        <w:t xml:space="preserve">(ICTR-01-63-T), Judgment and Sentence, 12 November 2008, </w:t>
      </w:r>
      <w:proofErr w:type="spellStart"/>
      <w:r w:rsidRPr="00645037">
        <w:rPr>
          <w:rFonts w:ascii="Times New Roman" w:hAnsi="Times New Roman"/>
          <w:sz w:val="20"/>
          <w:szCs w:val="20"/>
          <w:lang w:val="en-US"/>
        </w:rPr>
        <w:t>paras</w:t>
      </w:r>
      <w:proofErr w:type="spellEnd"/>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 xml:space="preserve">329-336; </w:t>
      </w:r>
      <w:r w:rsidRPr="00645037">
        <w:rPr>
          <w:rFonts w:ascii="Times New Roman" w:hAnsi="Times New Roman"/>
          <w:i/>
          <w:sz w:val="20"/>
          <w:szCs w:val="20"/>
          <w:lang w:val="en-US"/>
        </w:rPr>
        <w:t xml:space="preserve">Prosecutor v. </w:t>
      </w:r>
      <w:proofErr w:type="spellStart"/>
      <w:r w:rsidRPr="00645037">
        <w:rPr>
          <w:rFonts w:ascii="Times New Roman" w:hAnsi="Times New Roman"/>
          <w:i/>
          <w:sz w:val="20"/>
          <w:szCs w:val="20"/>
          <w:lang w:val="en-US"/>
        </w:rPr>
        <w:t>Bikindi</w:t>
      </w:r>
      <w:proofErr w:type="spellEnd"/>
      <w:r w:rsidRPr="00645037">
        <w:rPr>
          <w:rFonts w:ascii="Times New Roman" w:hAnsi="Times New Roman"/>
          <w:i/>
          <w:sz w:val="20"/>
          <w:szCs w:val="20"/>
          <w:lang w:val="en-US"/>
        </w:rPr>
        <w:t xml:space="preserve"> </w:t>
      </w:r>
      <w:r w:rsidRPr="00645037">
        <w:rPr>
          <w:rFonts w:ascii="Times New Roman" w:hAnsi="Times New Roman"/>
          <w:sz w:val="20"/>
          <w:szCs w:val="20"/>
          <w:lang w:val="en-US"/>
        </w:rPr>
        <w:t xml:space="preserve">(ICTR-01-72-T), Judgment, 2 December 2008, </w:t>
      </w:r>
      <w:proofErr w:type="spellStart"/>
      <w:r w:rsidRPr="00645037">
        <w:rPr>
          <w:rFonts w:ascii="Times New Roman" w:hAnsi="Times New Roman"/>
          <w:sz w:val="20"/>
          <w:szCs w:val="20"/>
          <w:lang w:val="en-US"/>
        </w:rPr>
        <w:t>paras</w:t>
      </w:r>
      <w:proofErr w:type="spellEnd"/>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 xml:space="preserve">404-426; </w:t>
      </w:r>
      <w:r w:rsidRPr="00645037">
        <w:rPr>
          <w:rFonts w:ascii="Times New Roman" w:hAnsi="Times New Roman"/>
          <w:i/>
          <w:iCs/>
          <w:sz w:val="20"/>
          <w:szCs w:val="20"/>
          <w:lang w:val="en-US"/>
        </w:rPr>
        <w:t xml:space="preserve">Prosecutor v. </w:t>
      </w:r>
      <w:proofErr w:type="spellStart"/>
      <w:r w:rsidRPr="00645037">
        <w:rPr>
          <w:rFonts w:ascii="Times New Roman" w:hAnsi="Times New Roman"/>
          <w:i/>
          <w:iCs/>
          <w:sz w:val="20"/>
          <w:szCs w:val="20"/>
          <w:lang w:val="en-US"/>
        </w:rPr>
        <w:t>Théoneste</w:t>
      </w:r>
      <w:proofErr w:type="spellEnd"/>
      <w:r w:rsidRPr="00645037">
        <w:rPr>
          <w:rFonts w:ascii="Times New Roman" w:hAnsi="Times New Roman"/>
          <w:i/>
          <w:iCs/>
          <w:sz w:val="20"/>
          <w:szCs w:val="20"/>
          <w:lang w:val="en-US"/>
        </w:rPr>
        <w:t xml:space="preserve"> </w:t>
      </w:r>
      <w:proofErr w:type="spellStart"/>
      <w:r w:rsidRPr="00645037">
        <w:rPr>
          <w:rFonts w:ascii="Times New Roman" w:hAnsi="Times New Roman"/>
          <w:i/>
          <w:iCs/>
          <w:sz w:val="20"/>
          <w:szCs w:val="20"/>
          <w:lang w:val="en-US"/>
        </w:rPr>
        <w:t>Bagosora</w:t>
      </w:r>
      <w:proofErr w:type="spellEnd"/>
      <w:r w:rsidRPr="00645037">
        <w:rPr>
          <w:rFonts w:ascii="Times New Roman" w:hAnsi="Times New Roman"/>
          <w:i/>
          <w:iCs/>
          <w:sz w:val="20"/>
          <w:szCs w:val="20"/>
          <w:lang w:val="en-US"/>
        </w:rPr>
        <w:t xml:space="preserve"> </w:t>
      </w:r>
      <w:r w:rsidRPr="00645037">
        <w:rPr>
          <w:rFonts w:ascii="Times New Roman" w:hAnsi="Times New Roman"/>
          <w:iCs/>
          <w:sz w:val="20"/>
          <w:szCs w:val="20"/>
          <w:lang w:val="en-US"/>
        </w:rPr>
        <w:t>et al.</w:t>
      </w:r>
      <w:r w:rsidRPr="00645037">
        <w:rPr>
          <w:rFonts w:ascii="Times New Roman" w:hAnsi="Times New Roman"/>
          <w:i/>
          <w:iCs/>
          <w:sz w:val="20"/>
          <w:szCs w:val="20"/>
          <w:lang w:val="en-US"/>
        </w:rPr>
        <w:t xml:space="preserve"> </w:t>
      </w:r>
      <w:r w:rsidRPr="00645037">
        <w:rPr>
          <w:rFonts w:ascii="Times New Roman" w:hAnsi="Times New Roman"/>
          <w:sz w:val="20"/>
          <w:szCs w:val="20"/>
          <w:lang w:val="en-US"/>
        </w:rPr>
        <w:t xml:space="preserve">(ICTR-98-41-T), Judgment and Sentence, 18 December 2008, </w:t>
      </w:r>
      <w:proofErr w:type="spellStart"/>
      <w:r w:rsidRPr="00645037">
        <w:rPr>
          <w:rFonts w:ascii="Times New Roman" w:hAnsi="Times New Roman"/>
          <w:sz w:val="20"/>
          <w:szCs w:val="20"/>
          <w:lang w:val="en-US"/>
        </w:rPr>
        <w:t>paras</w:t>
      </w:r>
      <w:proofErr w:type="spellEnd"/>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 xml:space="preserve">2084-2163; </w:t>
      </w:r>
      <w:r w:rsidRPr="00645037">
        <w:rPr>
          <w:rFonts w:ascii="Times New Roman" w:hAnsi="Times New Roman"/>
          <w:i/>
          <w:sz w:val="20"/>
          <w:szCs w:val="20"/>
          <w:lang w:val="en-US"/>
        </w:rPr>
        <w:t xml:space="preserve">Prosecutor v. </w:t>
      </w:r>
      <w:proofErr w:type="spellStart"/>
      <w:r w:rsidRPr="00645037">
        <w:rPr>
          <w:rFonts w:ascii="Times New Roman" w:hAnsi="Times New Roman"/>
          <w:i/>
          <w:sz w:val="20"/>
          <w:szCs w:val="20"/>
          <w:lang w:val="en-US"/>
        </w:rPr>
        <w:t>Zigiranyirazo</w:t>
      </w:r>
      <w:proofErr w:type="spellEnd"/>
      <w:r w:rsidRPr="00645037">
        <w:rPr>
          <w:rFonts w:ascii="Times New Roman" w:hAnsi="Times New Roman"/>
          <w:i/>
          <w:sz w:val="20"/>
          <w:szCs w:val="20"/>
          <w:lang w:val="en-US"/>
        </w:rPr>
        <w:t xml:space="preserve"> </w:t>
      </w:r>
      <w:r w:rsidRPr="00645037">
        <w:rPr>
          <w:rFonts w:ascii="Times New Roman" w:hAnsi="Times New Roman"/>
          <w:sz w:val="20"/>
          <w:szCs w:val="20"/>
          <w:lang w:val="en-US"/>
        </w:rPr>
        <w:t xml:space="preserve">(ICTR-01-73-T), Judgment, 18 December 2008, </w:t>
      </w:r>
      <w:proofErr w:type="spellStart"/>
      <w:r w:rsidRPr="00645037">
        <w:rPr>
          <w:rFonts w:ascii="Times New Roman" w:hAnsi="Times New Roman"/>
          <w:sz w:val="20"/>
          <w:szCs w:val="20"/>
          <w:lang w:val="en-US"/>
        </w:rPr>
        <w:t>paras</w:t>
      </w:r>
      <w:proofErr w:type="spellEnd"/>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 xml:space="preserve">396-428; </w:t>
      </w:r>
      <w:r w:rsidRPr="00645037">
        <w:rPr>
          <w:rFonts w:ascii="Times New Roman" w:hAnsi="Times New Roman"/>
          <w:i/>
          <w:iCs/>
          <w:sz w:val="20"/>
          <w:szCs w:val="20"/>
          <w:lang w:val="en-US"/>
        </w:rPr>
        <w:t xml:space="preserve">Prosecutor v. </w:t>
      </w:r>
      <w:proofErr w:type="spellStart"/>
      <w:r w:rsidRPr="00645037">
        <w:rPr>
          <w:rFonts w:ascii="Times New Roman" w:hAnsi="Times New Roman"/>
          <w:i/>
          <w:iCs/>
          <w:sz w:val="20"/>
          <w:szCs w:val="20"/>
          <w:lang w:val="en-US"/>
        </w:rPr>
        <w:t>Renzaho</w:t>
      </w:r>
      <w:proofErr w:type="spellEnd"/>
      <w:r w:rsidRPr="00645037">
        <w:rPr>
          <w:rFonts w:ascii="Times New Roman" w:hAnsi="Times New Roman"/>
          <w:i/>
          <w:iCs/>
          <w:sz w:val="20"/>
          <w:szCs w:val="20"/>
          <w:lang w:val="en-US"/>
        </w:rPr>
        <w:t xml:space="preserve"> </w:t>
      </w:r>
      <w:r w:rsidRPr="00645037">
        <w:rPr>
          <w:rFonts w:ascii="Times New Roman" w:hAnsi="Times New Roman"/>
          <w:iCs/>
          <w:sz w:val="20"/>
          <w:szCs w:val="20"/>
          <w:lang w:val="en-US"/>
        </w:rPr>
        <w:t>(</w:t>
      </w:r>
      <w:r w:rsidRPr="00645037">
        <w:rPr>
          <w:rFonts w:ascii="Times New Roman" w:hAnsi="Times New Roman"/>
          <w:sz w:val="20"/>
          <w:szCs w:val="20"/>
          <w:lang w:val="en-US"/>
        </w:rPr>
        <w:t xml:space="preserve">ICTR-97-31-T), Judgment and Sentence, 14 July 2009, </w:t>
      </w:r>
      <w:proofErr w:type="spellStart"/>
      <w:r w:rsidRPr="00645037">
        <w:rPr>
          <w:rFonts w:ascii="Times New Roman" w:hAnsi="Times New Roman"/>
          <w:sz w:val="20"/>
          <w:szCs w:val="20"/>
          <w:lang w:val="en-US"/>
        </w:rPr>
        <w:t>paras</w:t>
      </w:r>
      <w:proofErr w:type="spellEnd"/>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 xml:space="preserve">760-780; </w:t>
      </w:r>
      <w:r w:rsidRPr="00645037">
        <w:rPr>
          <w:rFonts w:ascii="Times New Roman" w:hAnsi="Times New Roman"/>
          <w:i/>
          <w:iCs/>
          <w:sz w:val="20"/>
          <w:szCs w:val="20"/>
          <w:lang w:val="en-US"/>
        </w:rPr>
        <w:t xml:space="preserve">Prosecutor v. </w:t>
      </w:r>
      <w:proofErr w:type="spellStart"/>
      <w:r w:rsidRPr="00645037">
        <w:rPr>
          <w:rFonts w:ascii="Times New Roman" w:hAnsi="Times New Roman"/>
          <w:i/>
          <w:iCs/>
          <w:sz w:val="20"/>
          <w:szCs w:val="20"/>
          <w:lang w:val="en-US"/>
        </w:rPr>
        <w:t>Nsengimana</w:t>
      </w:r>
      <w:proofErr w:type="spellEnd"/>
      <w:r w:rsidRPr="00645037">
        <w:rPr>
          <w:rFonts w:ascii="Times New Roman" w:hAnsi="Times New Roman"/>
          <w:i/>
          <w:iCs/>
          <w:sz w:val="20"/>
          <w:szCs w:val="20"/>
          <w:lang w:val="en-US"/>
        </w:rPr>
        <w:t xml:space="preserve"> (</w:t>
      </w:r>
      <w:r w:rsidRPr="00645037">
        <w:rPr>
          <w:rFonts w:ascii="Times New Roman" w:hAnsi="Times New Roman"/>
          <w:sz w:val="20"/>
          <w:szCs w:val="20"/>
          <w:lang w:val="en-US"/>
        </w:rPr>
        <w:t xml:space="preserve">ICTR-01-69-T), Judgment, 17 November 2009, </w:t>
      </w:r>
      <w:proofErr w:type="spellStart"/>
      <w:r w:rsidRPr="00645037">
        <w:rPr>
          <w:rFonts w:ascii="Times New Roman" w:hAnsi="Times New Roman"/>
          <w:sz w:val="20"/>
          <w:szCs w:val="20"/>
          <w:lang w:val="en-US"/>
        </w:rPr>
        <w:t>paras</w:t>
      </w:r>
      <w:proofErr w:type="spellEnd"/>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 xml:space="preserve">831-841; </w:t>
      </w:r>
      <w:r w:rsidRPr="00645037">
        <w:rPr>
          <w:rFonts w:ascii="Times New Roman" w:hAnsi="Times New Roman"/>
          <w:i/>
          <w:iCs/>
          <w:sz w:val="20"/>
          <w:szCs w:val="20"/>
          <w:lang w:val="en-US"/>
        </w:rPr>
        <w:t xml:space="preserve">Prosecutor v. </w:t>
      </w:r>
      <w:proofErr w:type="spellStart"/>
      <w:r w:rsidRPr="00645037">
        <w:rPr>
          <w:rFonts w:ascii="Times New Roman" w:hAnsi="Times New Roman"/>
          <w:i/>
          <w:iCs/>
          <w:sz w:val="20"/>
          <w:szCs w:val="20"/>
          <w:lang w:val="en-US"/>
        </w:rPr>
        <w:t>Rukundo</w:t>
      </w:r>
      <w:proofErr w:type="spellEnd"/>
      <w:r w:rsidRPr="00645037">
        <w:rPr>
          <w:rFonts w:ascii="Times New Roman" w:hAnsi="Times New Roman"/>
          <w:i/>
          <w:iCs/>
          <w:sz w:val="20"/>
          <w:szCs w:val="20"/>
          <w:lang w:val="en-US"/>
        </w:rPr>
        <w:t xml:space="preserve"> (</w:t>
      </w:r>
      <w:r w:rsidRPr="00645037">
        <w:rPr>
          <w:rFonts w:ascii="Times New Roman" w:hAnsi="Times New Roman"/>
          <w:sz w:val="20"/>
          <w:szCs w:val="20"/>
          <w:lang w:val="en-US"/>
        </w:rPr>
        <w:t xml:space="preserve">ICTR-2001-70-T), Judgment, 27 February 2009, </w:t>
      </w:r>
      <w:proofErr w:type="spellStart"/>
      <w:r w:rsidRPr="00645037">
        <w:rPr>
          <w:rFonts w:ascii="Times New Roman" w:hAnsi="Times New Roman"/>
          <w:sz w:val="20"/>
          <w:szCs w:val="20"/>
          <w:lang w:val="en-US"/>
        </w:rPr>
        <w:t>paras</w:t>
      </w:r>
      <w:proofErr w:type="spellEnd"/>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 xml:space="preserve">555-576; </w:t>
      </w:r>
      <w:r w:rsidRPr="00645037">
        <w:rPr>
          <w:rFonts w:ascii="Times New Roman" w:hAnsi="Times New Roman"/>
          <w:i/>
          <w:sz w:val="20"/>
          <w:szCs w:val="20"/>
          <w:lang w:val="en-US"/>
        </w:rPr>
        <w:t>P</w:t>
      </w:r>
      <w:r w:rsidRPr="00645037">
        <w:rPr>
          <w:rFonts w:ascii="Times New Roman" w:hAnsi="Times New Roman"/>
          <w:i/>
          <w:iCs/>
          <w:sz w:val="20"/>
          <w:szCs w:val="20"/>
          <w:lang w:val="en-US"/>
        </w:rPr>
        <w:t xml:space="preserve">rosecutor v. </w:t>
      </w:r>
      <w:proofErr w:type="spellStart"/>
      <w:r w:rsidRPr="00645037">
        <w:rPr>
          <w:rFonts w:ascii="Times New Roman" w:hAnsi="Times New Roman"/>
          <w:i/>
          <w:iCs/>
          <w:sz w:val="20"/>
          <w:szCs w:val="20"/>
          <w:lang w:val="en-US"/>
        </w:rPr>
        <w:t>Ndindiliyimana</w:t>
      </w:r>
      <w:proofErr w:type="spellEnd"/>
      <w:r w:rsidRPr="00645037">
        <w:rPr>
          <w:rFonts w:ascii="Times New Roman" w:hAnsi="Times New Roman"/>
          <w:i/>
          <w:iCs/>
          <w:sz w:val="20"/>
          <w:szCs w:val="20"/>
          <w:lang w:val="en-US"/>
        </w:rPr>
        <w:t xml:space="preserve"> </w:t>
      </w:r>
      <w:r w:rsidRPr="00645037">
        <w:rPr>
          <w:rFonts w:ascii="Times New Roman" w:hAnsi="Times New Roman"/>
          <w:iCs/>
          <w:sz w:val="20"/>
          <w:szCs w:val="20"/>
          <w:lang w:val="en-US"/>
        </w:rPr>
        <w:t>et al. (</w:t>
      </w:r>
      <w:r w:rsidRPr="00645037">
        <w:rPr>
          <w:rFonts w:ascii="Times New Roman" w:hAnsi="Times New Roman"/>
          <w:sz w:val="20"/>
          <w:szCs w:val="20"/>
          <w:lang w:val="en-US"/>
        </w:rPr>
        <w:t xml:space="preserve">ICTR-00-56-T), Judgment and Sentence, 17 May 2011, </w:t>
      </w:r>
      <w:proofErr w:type="spellStart"/>
      <w:r w:rsidRPr="00645037">
        <w:rPr>
          <w:rFonts w:ascii="Times New Roman" w:hAnsi="Times New Roman"/>
          <w:sz w:val="20"/>
          <w:szCs w:val="20"/>
          <w:lang w:val="en-US"/>
        </w:rPr>
        <w:t>paras</w:t>
      </w:r>
      <w:proofErr w:type="spellEnd"/>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 xml:space="preserve">2044-2085; </w:t>
      </w:r>
      <w:r w:rsidRPr="00645037">
        <w:rPr>
          <w:rFonts w:ascii="Times New Roman" w:hAnsi="Times New Roman"/>
          <w:i/>
          <w:sz w:val="20"/>
          <w:szCs w:val="20"/>
          <w:lang w:val="en-US"/>
        </w:rPr>
        <w:t xml:space="preserve">Prosecutor v. </w:t>
      </w:r>
      <w:proofErr w:type="spellStart"/>
      <w:r w:rsidRPr="00645037">
        <w:rPr>
          <w:rFonts w:ascii="Times New Roman" w:hAnsi="Times New Roman"/>
          <w:i/>
          <w:sz w:val="20"/>
          <w:szCs w:val="20"/>
          <w:lang w:val="en-US"/>
        </w:rPr>
        <w:t>Nyiramasuhuko</w:t>
      </w:r>
      <w:proofErr w:type="spellEnd"/>
      <w:r w:rsidRPr="00645037">
        <w:rPr>
          <w:rFonts w:ascii="Times New Roman" w:hAnsi="Times New Roman"/>
          <w:i/>
          <w:sz w:val="20"/>
          <w:szCs w:val="20"/>
          <w:lang w:val="en-US"/>
        </w:rPr>
        <w:t xml:space="preserve"> et al</w:t>
      </w:r>
      <w:r w:rsidRPr="00645037">
        <w:rPr>
          <w:rFonts w:ascii="Times New Roman" w:hAnsi="Times New Roman"/>
          <w:sz w:val="20"/>
          <w:szCs w:val="20"/>
          <w:lang w:val="en-US"/>
        </w:rPr>
        <w:t>. (</w:t>
      </w:r>
      <w:bookmarkStart w:id="0" w:name="_Toc298047403"/>
      <w:bookmarkStart w:id="1" w:name="_Toc298395795"/>
      <w:r w:rsidRPr="00645037">
        <w:rPr>
          <w:rFonts w:ascii="Times New Roman" w:hAnsi="Times New Roman"/>
          <w:sz w:val="20"/>
          <w:szCs w:val="20"/>
        </w:rPr>
        <w:t>ICTR-98-42-T</w:t>
      </w:r>
      <w:bookmarkEnd w:id="0"/>
      <w:bookmarkEnd w:id="1"/>
      <w:r w:rsidRPr="00645037">
        <w:rPr>
          <w:rFonts w:ascii="Times New Roman" w:hAnsi="Times New Roman"/>
          <w:sz w:val="20"/>
          <w:szCs w:val="20"/>
        </w:rPr>
        <w:t xml:space="preserve">), Judgment and Sentence, 24 June 2011, </w:t>
      </w:r>
      <w:proofErr w:type="spellStart"/>
      <w:r w:rsidRPr="00645037">
        <w:rPr>
          <w:rFonts w:ascii="Times New Roman" w:hAnsi="Times New Roman"/>
          <w:sz w:val="20"/>
          <w:szCs w:val="20"/>
        </w:rPr>
        <w:t>paras</w:t>
      </w:r>
      <w:proofErr w:type="spellEnd"/>
      <w:r w:rsidRPr="00645037">
        <w:rPr>
          <w:rFonts w:ascii="Times New Roman" w:hAnsi="Times New Roman"/>
          <w:sz w:val="20"/>
          <w:szCs w:val="20"/>
        </w:rPr>
        <w:t>.</w:t>
      </w:r>
      <w:proofErr w:type="gramEnd"/>
      <w:r w:rsidRPr="00645037">
        <w:rPr>
          <w:rFonts w:ascii="Times New Roman" w:hAnsi="Times New Roman"/>
          <w:sz w:val="20"/>
          <w:szCs w:val="20"/>
        </w:rPr>
        <w:t xml:space="preserve"> </w:t>
      </w:r>
      <w:proofErr w:type="gramStart"/>
      <w:r w:rsidRPr="00645037">
        <w:rPr>
          <w:rFonts w:ascii="Times New Roman" w:hAnsi="Times New Roman"/>
          <w:sz w:val="20"/>
          <w:szCs w:val="20"/>
        </w:rPr>
        <w:t xml:space="preserve">5653-6038; </w:t>
      </w:r>
      <w:r w:rsidRPr="00645037">
        <w:rPr>
          <w:rFonts w:ascii="Times New Roman" w:hAnsi="Times New Roman"/>
          <w:i/>
          <w:iCs/>
          <w:sz w:val="20"/>
          <w:szCs w:val="20"/>
          <w:lang w:val="en-US"/>
        </w:rPr>
        <w:t xml:space="preserve">Prosecutor v. </w:t>
      </w:r>
      <w:proofErr w:type="spellStart"/>
      <w:r w:rsidRPr="00645037">
        <w:rPr>
          <w:rFonts w:ascii="Times New Roman" w:hAnsi="Times New Roman"/>
          <w:i/>
          <w:iCs/>
          <w:sz w:val="20"/>
          <w:szCs w:val="20"/>
          <w:lang w:val="en-US"/>
        </w:rPr>
        <w:t>Bizimungu</w:t>
      </w:r>
      <w:proofErr w:type="spellEnd"/>
      <w:r w:rsidRPr="00645037">
        <w:rPr>
          <w:rFonts w:ascii="Times New Roman" w:hAnsi="Times New Roman"/>
          <w:i/>
          <w:iCs/>
          <w:sz w:val="20"/>
          <w:szCs w:val="20"/>
          <w:lang w:val="en-US"/>
        </w:rPr>
        <w:t xml:space="preserve"> et al. </w:t>
      </w:r>
      <w:r w:rsidRPr="00645037">
        <w:rPr>
          <w:rFonts w:ascii="Times New Roman" w:hAnsi="Times New Roman"/>
          <w:iCs/>
          <w:sz w:val="20"/>
          <w:szCs w:val="20"/>
          <w:lang w:val="en-US"/>
        </w:rPr>
        <w:t>(</w:t>
      </w:r>
      <w:r w:rsidRPr="00645037">
        <w:rPr>
          <w:rFonts w:ascii="Times New Roman" w:hAnsi="Times New Roman"/>
          <w:sz w:val="20"/>
          <w:szCs w:val="20"/>
          <w:lang w:val="en-US"/>
        </w:rPr>
        <w:t xml:space="preserve">ICTR-99-50-T), Judgment and Sentence, 30 September 2011, </w:t>
      </w:r>
      <w:proofErr w:type="spellStart"/>
      <w:r w:rsidRPr="00645037">
        <w:rPr>
          <w:rFonts w:ascii="Times New Roman" w:hAnsi="Times New Roman"/>
          <w:sz w:val="20"/>
          <w:szCs w:val="20"/>
          <w:lang w:val="en-US"/>
        </w:rPr>
        <w:t>paras</w:t>
      </w:r>
      <w:proofErr w:type="spellEnd"/>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 xml:space="preserve">1954-1987; </w:t>
      </w:r>
      <w:r w:rsidRPr="00645037">
        <w:rPr>
          <w:rFonts w:ascii="Times New Roman" w:hAnsi="Times New Roman"/>
          <w:i/>
          <w:iCs/>
          <w:sz w:val="20"/>
          <w:szCs w:val="20"/>
          <w:lang w:val="en-US"/>
        </w:rPr>
        <w:t xml:space="preserve">Prosecutor v. </w:t>
      </w:r>
      <w:proofErr w:type="spellStart"/>
      <w:r w:rsidRPr="00645037">
        <w:rPr>
          <w:rFonts w:ascii="Times New Roman" w:hAnsi="Times New Roman"/>
          <w:i/>
          <w:iCs/>
          <w:sz w:val="20"/>
          <w:szCs w:val="20"/>
          <w:lang w:val="en-US"/>
        </w:rPr>
        <w:t>Karemera</w:t>
      </w:r>
      <w:proofErr w:type="spellEnd"/>
      <w:r w:rsidRPr="00645037">
        <w:rPr>
          <w:rFonts w:ascii="Times New Roman" w:hAnsi="Times New Roman"/>
          <w:i/>
          <w:iCs/>
          <w:sz w:val="20"/>
          <w:szCs w:val="20"/>
          <w:lang w:val="en-US"/>
        </w:rPr>
        <w:t xml:space="preserve"> et al. </w:t>
      </w:r>
      <w:r w:rsidRPr="00645037">
        <w:rPr>
          <w:rFonts w:ascii="Times New Roman" w:hAnsi="Times New Roman"/>
          <w:iCs/>
          <w:sz w:val="20"/>
          <w:szCs w:val="20"/>
          <w:lang w:val="en-US"/>
        </w:rPr>
        <w:t>(</w:t>
      </w:r>
      <w:r w:rsidRPr="00645037">
        <w:rPr>
          <w:rFonts w:ascii="Times New Roman" w:hAnsi="Times New Roman"/>
          <w:sz w:val="20"/>
          <w:szCs w:val="20"/>
          <w:lang w:val="en-US"/>
        </w:rPr>
        <w:t xml:space="preserve">ICTR-98-44-T), Judgment and Sentence, 2 February 2012, </w:t>
      </w:r>
      <w:proofErr w:type="spellStart"/>
      <w:r w:rsidRPr="00645037">
        <w:rPr>
          <w:rFonts w:ascii="Times New Roman" w:hAnsi="Times New Roman"/>
          <w:sz w:val="20"/>
          <w:szCs w:val="20"/>
          <w:lang w:val="en-US"/>
        </w:rPr>
        <w:t>paras</w:t>
      </w:r>
      <w:proofErr w:type="spellEnd"/>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1575-1672.</w:t>
      </w:r>
    </w:p>
  </w:footnote>
  <w:footnote w:id="17">
    <w:p w14:paraId="5FDBF23F" w14:textId="77777777" w:rsidR="00D10D54" w:rsidRPr="00645037" w:rsidRDefault="00D10D54" w:rsidP="00645037">
      <w:pPr>
        <w:widowControl w:val="0"/>
        <w:autoSpaceDE w:val="0"/>
        <w:autoSpaceDN w:val="0"/>
        <w:adjustRightInd w:val="0"/>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gramStart"/>
      <w:r w:rsidRPr="00645037">
        <w:rPr>
          <w:rFonts w:ascii="Times New Roman" w:hAnsi="Times New Roman"/>
          <w:i/>
          <w:sz w:val="20"/>
          <w:szCs w:val="20"/>
          <w:lang w:val="en-US"/>
        </w:rPr>
        <w:t xml:space="preserve">Prosecutor v. </w:t>
      </w:r>
      <w:proofErr w:type="spellStart"/>
      <w:r w:rsidRPr="00645037">
        <w:rPr>
          <w:rFonts w:ascii="Times New Roman" w:hAnsi="Times New Roman"/>
          <w:i/>
          <w:sz w:val="20"/>
          <w:szCs w:val="20"/>
          <w:lang w:val="en-US"/>
        </w:rPr>
        <w:t>Bagaragaza</w:t>
      </w:r>
      <w:proofErr w:type="spellEnd"/>
      <w:r w:rsidRPr="00645037">
        <w:rPr>
          <w:rFonts w:ascii="Times New Roman" w:hAnsi="Times New Roman"/>
          <w:i/>
          <w:sz w:val="20"/>
          <w:szCs w:val="20"/>
          <w:lang w:val="en-US"/>
        </w:rPr>
        <w:t xml:space="preserve"> </w:t>
      </w:r>
      <w:r w:rsidRPr="00645037">
        <w:rPr>
          <w:rFonts w:ascii="Times New Roman" w:hAnsi="Times New Roman"/>
          <w:sz w:val="20"/>
          <w:szCs w:val="20"/>
          <w:lang w:val="en-US"/>
        </w:rPr>
        <w:t xml:space="preserve">(ICTR-2005-86-11bis), </w:t>
      </w:r>
      <w:r w:rsidRPr="00645037">
        <w:rPr>
          <w:rFonts w:ascii="Times New Roman" w:hAnsi="Times New Roman"/>
          <w:bCs/>
          <w:sz w:val="20"/>
          <w:szCs w:val="20"/>
          <w:lang w:val="en-US"/>
        </w:rPr>
        <w:t xml:space="preserve">Decision on Prosecutor’s Request for Referral of the Indictment to the Kingdom of the Netherlands, 13 April 2007, </w:t>
      </w:r>
      <w:r w:rsidRPr="00645037">
        <w:rPr>
          <w:rFonts w:ascii="Times New Roman" w:hAnsi="Times New Roman"/>
          <w:sz w:val="20"/>
          <w:szCs w:val="20"/>
          <w:lang w:val="en-US"/>
        </w:rPr>
        <w:t>para.</w:t>
      </w:r>
      <w:proofErr w:type="gramEnd"/>
      <w:r w:rsidRPr="00645037">
        <w:rPr>
          <w:rFonts w:ascii="Times New Roman" w:hAnsi="Times New Roman"/>
          <w:sz w:val="20"/>
          <w:szCs w:val="20"/>
          <w:lang w:val="en-US"/>
        </w:rPr>
        <w:t xml:space="preserve"> 23, fn. 32, citing </w:t>
      </w:r>
      <w:r w:rsidRPr="00645037">
        <w:rPr>
          <w:rFonts w:ascii="Times New Roman" w:hAnsi="Times New Roman"/>
          <w:bCs/>
          <w:i/>
          <w:iCs/>
          <w:sz w:val="20"/>
          <w:szCs w:val="20"/>
          <w:lang w:val="en-US"/>
        </w:rPr>
        <w:t>Applicability of Article VI, Section 22, of the Convention on the Privileges and Immunities of the United Nations, Advisory Opinion</w:t>
      </w:r>
      <w:r w:rsidRPr="00645037">
        <w:rPr>
          <w:rFonts w:ascii="Times New Roman" w:hAnsi="Times New Roman"/>
          <w:bCs/>
          <w:iCs/>
          <w:sz w:val="20"/>
          <w:szCs w:val="20"/>
          <w:lang w:val="en-US"/>
        </w:rPr>
        <w:t>, I.C.J. Reports 1989, p.</w:t>
      </w:r>
      <w:r w:rsidRPr="00645037">
        <w:rPr>
          <w:rFonts w:ascii="Times New Roman" w:hAnsi="Times New Roman"/>
          <w:b/>
          <w:bCs/>
          <w:iCs/>
          <w:sz w:val="20"/>
          <w:szCs w:val="20"/>
          <w:lang w:val="en-US"/>
        </w:rPr>
        <w:t xml:space="preserve"> </w:t>
      </w:r>
      <w:r w:rsidRPr="00645037">
        <w:rPr>
          <w:rFonts w:ascii="Times New Roman" w:hAnsi="Times New Roman"/>
          <w:sz w:val="20"/>
          <w:szCs w:val="20"/>
          <w:lang w:val="en-US"/>
        </w:rPr>
        <w:t xml:space="preserve">177, para. </w:t>
      </w:r>
      <w:proofErr w:type="gramStart"/>
      <w:r w:rsidRPr="00645037">
        <w:rPr>
          <w:rFonts w:ascii="Times New Roman" w:hAnsi="Times New Roman"/>
          <w:sz w:val="20"/>
          <w:szCs w:val="20"/>
          <w:lang w:val="en-US"/>
        </w:rPr>
        <w:t xml:space="preserve">47; </w:t>
      </w:r>
      <w:r w:rsidRPr="00645037">
        <w:rPr>
          <w:rFonts w:ascii="Times New Roman" w:hAnsi="Times New Roman"/>
          <w:i/>
          <w:sz w:val="20"/>
          <w:szCs w:val="20"/>
          <w:lang w:val="en-US"/>
        </w:rPr>
        <w:t xml:space="preserve">Prosecutor v. </w:t>
      </w:r>
      <w:proofErr w:type="spellStart"/>
      <w:r w:rsidRPr="00645037">
        <w:rPr>
          <w:rFonts w:ascii="Times New Roman" w:hAnsi="Times New Roman"/>
          <w:i/>
          <w:sz w:val="20"/>
          <w:szCs w:val="20"/>
          <w:lang w:val="en-US"/>
        </w:rPr>
        <w:t>Rwamakuba</w:t>
      </w:r>
      <w:proofErr w:type="spellEnd"/>
      <w:r w:rsidRPr="00645037">
        <w:rPr>
          <w:rFonts w:ascii="Times New Roman" w:hAnsi="Times New Roman"/>
          <w:i/>
          <w:sz w:val="20"/>
          <w:szCs w:val="20"/>
          <w:lang w:val="en-US"/>
        </w:rPr>
        <w:t xml:space="preserve"> </w:t>
      </w:r>
      <w:r w:rsidRPr="00645037">
        <w:rPr>
          <w:rFonts w:ascii="Times New Roman" w:hAnsi="Times New Roman"/>
          <w:sz w:val="20"/>
          <w:szCs w:val="20"/>
          <w:lang w:val="en-US"/>
        </w:rPr>
        <w:t>(</w:t>
      </w:r>
      <w:r w:rsidRPr="00645037">
        <w:rPr>
          <w:rFonts w:ascii="Times New Roman" w:hAnsi="Times New Roman"/>
          <w:bCs/>
          <w:sz w:val="20"/>
          <w:szCs w:val="20"/>
          <w:lang w:val="en-US"/>
        </w:rPr>
        <w:t>ICTR-98-44C-I), Decision on Appropriate Remedy, 31 January 2007, para.</w:t>
      </w:r>
      <w:proofErr w:type="gramEnd"/>
      <w:r w:rsidRPr="00645037">
        <w:rPr>
          <w:rFonts w:ascii="Times New Roman" w:hAnsi="Times New Roman"/>
          <w:bCs/>
          <w:sz w:val="20"/>
          <w:szCs w:val="20"/>
          <w:lang w:val="en-US"/>
        </w:rPr>
        <w:t xml:space="preserve"> 48, fn. 71, citing </w:t>
      </w:r>
      <w:r w:rsidRPr="00645037">
        <w:rPr>
          <w:rFonts w:ascii="Times New Roman" w:hAnsi="Times New Roman"/>
          <w:i/>
          <w:iCs/>
          <w:sz w:val="20"/>
          <w:szCs w:val="20"/>
          <w:lang w:val="en-US"/>
        </w:rPr>
        <w:t>Interpretation of the Agreement of 25 March 1951 between the</w:t>
      </w:r>
      <w:r w:rsidRPr="00645037">
        <w:rPr>
          <w:rFonts w:ascii="Times New Roman" w:hAnsi="Times New Roman"/>
          <w:sz w:val="20"/>
          <w:szCs w:val="20"/>
          <w:lang w:val="en-US"/>
        </w:rPr>
        <w:t xml:space="preserve"> </w:t>
      </w:r>
      <w:r w:rsidRPr="00645037">
        <w:rPr>
          <w:rFonts w:ascii="Times New Roman" w:hAnsi="Times New Roman"/>
          <w:i/>
          <w:iCs/>
          <w:sz w:val="20"/>
          <w:szCs w:val="20"/>
          <w:lang w:val="en-US"/>
        </w:rPr>
        <w:t>WHO and Egypt, Advisory Opinion</w:t>
      </w:r>
      <w:r w:rsidRPr="00645037">
        <w:rPr>
          <w:rFonts w:ascii="Times New Roman" w:hAnsi="Times New Roman"/>
          <w:iCs/>
          <w:sz w:val="20"/>
          <w:szCs w:val="20"/>
          <w:lang w:val="en-US"/>
        </w:rPr>
        <w:t xml:space="preserve">, I.C.J. Reports 1980, </w:t>
      </w:r>
      <w:r w:rsidRPr="00645037">
        <w:rPr>
          <w:rFonts w:ascii="Times New Roman" w:hAnsi="Times New Roman"/>
          <w:sz w:val="20"/>
          <w:szCs w:val="20"/>
          <w:lang w:val="en-US"/>
        </w:rPr>
        <w:t xml:space="preserve">p. 73 and </w:t>
      </w:r>
      <w:r w:rsidRPr="00645037">
        <w:rPr>
          <w:rFonts w:ascii="Times New Roman" w:hAnsi="Times New Roman"/>
          <w:i/>
          <w:sz w:val="20"/>
          <w:szCs w:val="20"/>
          <w:lang w:val="en-US"/>
        </w:rPr>
        <w:t>Reparation for injuries suffered in the service of the United Nations, Advisory Opinion</w:t>
      </w:r>
      <w:r w:rsidRPr="00645037">
        <w:rPr>
          <w:rFonts w:ascii="Times New Roman" w:hAnsi="Times New Roman"/>
          <w:sz w:val="20"/>
          <w:szCs w:val="20"/>
          <w:lang w:val="en-US"/>
        </w:rPr>
        <w:t xml:space="preserve">, I.C.J. Reports 1949, p. 174; </w:t>
      </w:r>
      <w:r w:rsidRPr="00645037">
        <w:rPr>
          <w:rFonts w:ascii="Times New Roman" w:hAnsi="Times New Roman"/>
          <w:i/>
          <w:sz w:val="20"/>
          <w:szCs w:val="20"/>
          <w:lang w:val="en-US"/>
        </w:rPr>
        <w:t xml:space="preserve">Prosecutor v. </w:t>
      </w:r>
      <w:proofErr w:type="spellStart"/>
      <w:r w:rsidRPr="00645037">
        <w:rPr>
          <w:rFonts w:ascii="Times New Roman" w:hAnsi="Times New Roman"/>
          <w:i/>
          <w:sz w:val="20"/>
          <w:szCs w:val="20"/>
          <w:lang w:val="en-US"/>
        </w:rPr>
        <w:t>Karemera</w:t>
      </w:r>
      <w:proofErr w:type="spellEnd"/>
      <w:r w:rsidRPr="00645037">
        <w:rPr>
          <w:rFonts w:ascii="Times New Roman" w:hAnsi="Times New Roman"/>
          <w:i/>
          <w:sz w:val="20"/>
          <w:szCs w:val="20"/>
          <w:lang w:val="en-US"/>
        </w:rPr>
        <w:t xml:space="preserve"> </w:t>
      </w:r>
      <w:r w:rsidRPr="00645037">
        <w:rPr>
          <w:rFonts w:ascii="Times New Roman" w:hAnsi="Times New Roman"/>
          <w:sz w:val="20"/>
          <w:szCs w:val="20"/>
          <w:lang w:val="en-US"/>
        </w:rPr>
        <w:t>et al. (</w:t>
      </w:r>
      <w:r w:rsidRPr="00645037">
        <w:rPr>
          <w:rFonts w:ascii="Times New Roman" w:hAnsi="Times New Roman"/>
          <w:bCs/>
          <w:sz w:val="20"/>
          <w:szCs w:val="20"/>
          <w:lang w:val="en-US"/>
        </w:rPr>
        <w:t xml:space="preserve">ICTR-98-44-T), Decision on </w:t>
      </w:r>
      <w:proofErr w:type="spellStart"/>
      <w:r w:rsidRPr="00645037">
        <w:rPr>
          <w:rFonts w:ascii="Times New Roman" w:hAnsi="Times New Roman"/>
          <w:bCs/>
          <w:sz w:val="20"/>
          <w:szCs w:val="20"/>
          <w:lang w:val="en-US"/>
        </w:rPr>
        <w:t>Nzirorera’s</w:t>
      </w:r>
      <w:proofErr w:type="spellEnd"/>
      <w:r w:rsidRPr="00645037">
        <w:rPr>
          <w:rFonts w:ascii="Times New Roman" w:hAnsi="Times New Roman"/>
          <w:bCs/>
          <w:sz w:val="20"/>
          <w:szCs w:val="20"/>
          <w:lang w:val="en-US"/>
        </w:rPr>
        <w:t xml:space="preserve"> Preliminary Motion to Dismiss the Indictment for Lack of Jurisdiction: Chapter VII of the United Nations Charter, </w:t>
      </w:r>
      <w:r w:rsidRPr="00645037">
        <w:rPr>
          <w:rFonts w:ascii="Times New Roman" w:hAnsi="Times New Roman"/>
          <w:sz w:val="20"/>
          <w:szCs w:val="20"/>
          <w:lang w:val="en-US"/>
        </w:rPr>
        <w:t xml:space="preserve">29 March 2004, para. 10, fn. 4, citing </w:t>
      </w:r>
      <w:r w:rsidRPr="00645037">
        <w:rPr>
          <w:rFonts w:ascii="Times New Roman" w:hAnsi="Times New Roman"/>
          <w:i/>
          <w:iCs/>
          <w:sz w:val="20"/>
          <w:szCs w:val="20"/>
          <w:lang w:val="en-US"/>
        </w:rPr>
        <w:t>Legal Consequences for States of the Continued Presence of South Africa in Namibia (South West Africa) notwithstanding Security Council Resolution 276 (1970), Advisory Opinion</w:t>
      </w:r>
      <w:r w:rsidRPr="00645037">
        <w:rPr>
          <w:rFonts w:ascii="Times New Roman" w:hAnsi="Times New Roman"/>
          <w:iCs/>
          <w:sz w:val="20"/>
          <w:szCs w:val="20"/>
          <w:lang w:val="en-US"/>
        </w:rPr>
        <w:t xml:space="preserve">, I.C.J. Reports 1971, </w:t>
      </w:r>
      <w:r w:rsidRPr="00645037">
        <w:rPr>
          <w:rFonts w:ascii="Times New Roman" w:hAnsi="Times New Roman"/>
          <w:sz w:val="20"/>
          <w:szCs w:val="20"/>
          <w:lang w:val="en-US"/>
        </w:rPr>
        <w:t xml:space="preserve">p. </w:t>
      </w:r>
      <w:r w:rsidRPr="00645037">
        <w:rPr>
          <w:rFonts w:ascii="Times New Roman" w:hAnsi="Times New Roman"/>
          <w:iCs/>
          <w:sz w:val="20"/>
          <w:szCs w:val="20"/>
          <w:lang w:val="en-US"/>
        </w:rPr>
        <w:t>16</w:t>
      </w:r>
      <w:r w:rsidRPr="00645037">
        <w:rPr>
          <w:rFonts w:ascii="Times New Roman" w:hAnsi="Times New Roman"/>
          <w:sz w:val="20"/>
          <w:szCs w:val="20"/>
          <w:lang w:val="en-US"/>
        </w:rPr>
        <w:t xml:space="preserve">; </w:t>
      </w:r>
      <w:r w:rsidRPr="00645037">
        <w:rPr>
          <w:rFonts w:ascii="Times New Roman" w:hAnsi="Times New Roman"/>
          <w:i/>
          <w:sz w:val="20"/>
          <w:szCs w:val="20"/>
          <w:lang w:val="en-US"/>
        </w:rPr>
        <w:t xml:space="preserve">Prosecutor v. </w:t>
      </w:r>
      <w:proofErr w:type="spellStart"/>
      <w:r w:rsidRPr="00645037">
        <w:rPr>
          <w:rFonts w:ascii="Times New Roman" w:hAnsi="Times New Roman"/>
          <w:i/>
          <w:sz w:val="20"/>
          <w:szCs w:val="20"/>
          <w:lang w:val="en-US"/>
        </w:rPr>
        <w:t>Karemera</w:t>
      </w:r>
      <w:proofErr w:type="spellEnd"/>
      <w:r w:rsidRPr="00645037">
        <w:rPr>
          <w:rFonts w:ascii="Times New Roman" w:hAnsi="Times New Roman"/>
          <w:i/>
          <w:sz w:val="20"/>
          <w:szCs w:val="20"/>
          <w:lang w:val="en-US"/>
        </w:rPr>
        <w:t xml:space="preserve"> et al.</w:t>
      </w:r>
      <w:r w:rsidRPr="00645037">
        <w:rPr>
          <w:rFonts w:ascii="Times New Roman" w:hAnsi="Times New Roman"/>
          <w:sz w:val="20"/>
          <w:szCs w:val="20"/>
          <w:lang w:val="en-US"/>
        </w:rPr>
        <w:t xml:space="preserve"> (</w:t>
      </w:r>
      <w:r w:rsidRPr="00645037">
        <w:rPr>
          <w:rFonts w:ascii="Times New Roman" w:hAnsi="Times New Roman"/>
          <w:bCs/>
          <w:sz w:val="20"/>
          <w:szCs w:val="20"/>
          <w:lang w:val="en-US"/>
        </w:rPr>
        <w:t xml:space="preserve">ICTR-98-44-PT), Decision on Severance of </w:t>
      </w:r>
      <w:proofErr w:type="spellStart"/>
      <w:r w:rsidRPr="00645037">
        <w:rPr>
          <w:rFonts w:ascii="Times New Roman" w:hAnsi="Times New Roman"/>
          <w:bCs/>
          <w:sz w:val="20"/>
          <w:szCs w:val="20"/>
          <w:lang w:val="en-US"/>
        </w:rPr>
        <w:t>Andr</w:t>
      </w:r>
      <w:proofErr w:type="spellEnd"/>
      <w:r w:rsidRPr="00645037">
        <w:rPr>
          <w:rFonts w:ascii="Times New Roman" w:hAnsi="Times New Roman"/>
          <w:bCs/>
          <w:sz w:val="20"/>
          <w:szCs w:val="20"/>
          <w:lang w:val="fr-FR"/>
        </w:rPr>
        <w:t xml:space="preserve">é </w:t>
      </w:r>
      <w:proofErr w:type="spellStart"/>
      <w:r w:rsidRPr="00645037">
        <w:rPr>
          <w:rFonts w:ascii="Times New Roman" w:hAnsi="Times New Roman"/>
          <w:bCs/>
          <w:sz w:val="20"/>
          <w:szCs w:val="20"/>
          <w:lang w:val="fr-FR"/>
        </w:rPr>
        <w:t>Rwamakuba</w:t>
      </w:r>
      <w:proofErr w:type="spellEnd"/>
      <w:r w:rsidRPr="00645037">
        <w:rPr>
          <w:rFonts w:ascii="Times New Roman" w:hAnsi="Times New Roman"/>
          <w:bCs/>
          <w:sz w:val="20"/>
          <w:szCs w:val="20"/>
          <w:lang w:val="fr-FR"/>
        </w:rPr>
        <w:t xml:space="preserve"> and </w:t>
      </w:r>
      <w:proofErr w:type="spellStart"/>
      <w:r w:rsidRPr="00645037">
        <w:rPr>
          <w:rFonts w:ascii="Times New Roman" w:hAnsi="Times New Roman"/>
          <w:bCs/>
          <w:sz w:val="20"/>
          <w:szCs w:val="20"/>
          <w:lang w:val="fr-FR"/>
        </w:rPr>
        <w:t>Amendments</w:t>
      </w:r>
      <w:proofErr w:type="spellEnd"/>
      <w:r w:rsidRPr="00645037">
        <w:rPr>
          <w:rFonts w:ascii="Times New Roman" w:hAnsi="Times New Roman"/>
          <w:bCs/>
          <w:sz w:val="20"/>
          <w:szCs w:val="20"/>
          <w:lang w:val="fr-FR"/>
        </w:rPr>
        <w:t xml:space="preserve"> of the </w:t>
      </w:r>
      <w:proofErr w:type="spellStart"/>
      <w:r w:rsidRPr="00645037">
        <w:rPr>
          <w:rFonts w:ascii="Times New Roman" w:hAnsi="Times New Roman"/>
          <w:bCs/>
          <w:sz w:val="20"/>
          <w:szCs w:val="20"/>
          <w:lang w:val="fr-FR"/>
        </w:rPr>
        <w:t>Indictment</w:t>
      </w:r>
      <w:proofErr w:type="spellEnd"/>
      <w:r w:rsidRPr="00645037">
        <w:rPr>
          <w:rFonts w:ascii="Times New Roman" w:hAnsi="Times New Roman"/>
          <w:sz w:val="20"/>
          <w:szCs w:val="20"/>
          <w:lang w:val="en-US"/>
        </w:rPr>
        <w:t xml:space="preserve">, 7 December 2004, para. 22, fn. 22, citing </w:t>
      </w:r>
      <w:r w:rsidRPr="00645037">
        <w:rPr>
          <w:rFonts w:ascii="Times New Roman" w:hAnsi="Times New Roman"/>
          <w:i/>
          <w:iCs/>
          <w:sz w:val="20"/>
          <w:szCs w:val="20"/>
          <w:lang w:val="en-US"/>
        </w:rPr>
        <w:t xml:space="preserve">Case concerning the Northern Cameroons (Cameroon </w:t>
      </w:r>
      <w:r w:rsidRPr="00645037">
        <w:rPr>
          <w:rFonts w:ascii="Times New Roman" w:hAnsi="Times New Roman"/>
          <w:sz w:val="20"/>
          <w:szCs w:val="20"/>
          <w:lang w:val="en-US"/>
        </w:rPr>
        <w:t xml:space="preserve">v. </w:t>
      </w:r>
      <w:r w:rsidRPr="00645037">
        <w:rPr>
          <w:rFonts w:ascii="Times New Roman" w:hAnsi="Times New Roman"/>
          <w:i/>
          <w:iCs/>
          <w:sz w:val="20"/>
          <w:szCs w:val="20"/>
          <w:lang w:val="en-US"/>
        </w:rPr>
        <w:t>United Kingdom), Preliminary Objections,</w:t>
      </w:r>
      <w:r w:rsidRPr="00645037">
        <w:rPr>
          <w:rFonts w:ascii="Times New Roman" w:hAnsi="Times New Roman"/>
          <w:sz w:val="20"/>
          <w:szCs w:val="20"/>
          <w:lang w:val="en-US"/>
        </w:rPr>
        <w:t xml:space="preserve"> </w:t>
      </w:r>
      <w:r w:rsidRPr="00645037">
        <w:rPr>
          <w:rFonts w:ascii="Times New Roman" w:hAnsi="Times New Roman"/>
          <w:i/>
          <w:iCs/>
          <w:sz w:val="20"/>
          <w:szCs w:val="20"/>
          <w:lang w:val="en-US"/>
        </w:rPr>
        <w:t>Judgment of 2 December 1963</w:t>
      </w:r>
      <w:r w:rsidRPr="00645037">
        <w:rPr>
          <w:rFonts w:ascii="Times New Roman" w:hAnsi="Times New Roman"/>
          <w:iCs/>
          <w:sz w:val="20"/>
          <w:szCs w:val="20"/>
          <w:lang w:val="en-US"/>
        </w:rPr>
        <w:t>,</w:t>
      </w:r>
      <w:r w:rsidRPr="00645037">
        <w:rPr>
          <w:rFonts w:ascii="Times New Roman" w:hAnsi="Times New Roman"/>
          <w:i/>
          <w:iCs/>
          <w:sz w:val="20"/>
          <w:szCs w:val="20"/>
          <w:lang w:val="en-US"/>
        </w:rPr>
        <w:t xml:space="preserve"> </w:t>
      </w:r>
      <w:r w:rsidRPr="00645037">
        <w:rPr>
          <w:rFonts w:ascii="Times New Roman" w:hAnsi="Times New Roman"/>
          <w:iCs/>
          <w:sz w:val="20"/>
          <w:szCs w:val="20"/>
          <w:lang w:val="en-US"/>
        </w:rPr>
        <w:t>I.C.J. Reports 1963, p. 15</w:t>
      </w:r>
      <w:r w:rsidRPr="00645037">
        <w:rPr>
          <w:rFonts w:ascii="Times New Roman" w:hAnsi="Times New Roman"/>
          <w:sz w:val="20"/>
          <w:szCs w:val="20"/>
          <w:lang w:val="en-US"/>
        </w:rPr>
        <w:t xml:space="preserve"> and </w:t>
      </w:r>
      <w:r w:rsidRPr="00645037">
        <w:rPr>
          <w:rFonts w:ascii="Times New Roman" w:hAnsi="Times New Roman"/>
          <w:i/>
          <w:sz w:val="20"/>
          <w:szCs w:val="20"/>
        </w:rPr>
        <w:t>Nuclear Tests (Australia v. France), Judgment</w:t>
      </w:r>
      <w:r w:rsidRPr="00645037">
        <w:rPr>
          <w:rFonts w:ascii="Times New Roman" w:hAnsi="Times New Roman"/>
          <w:sz w:val="20"/>
          <w:szCs w:val="20"/>
        </w:rPr>
        <w:t>, I.C.J. Reports 1974, p. 253</w:t>
      </w:r>
      <w:r w:rsidRPr="00645037">
        <w:rPr>
          <w:rFonts w:ascii="Times New Roman" w:hAnsi="Times New Roman"/>
          <w:sz w:val="20"/>
          <w:szCs w:val="20"/>
          <w:lang w:val="en-US"/>
        </w:rPr>
        <w:t>.</w:t>
      </w:r>
    </w:p>
  </w:footnote>
  <w:footnote w:id="18">
    <w:p w14:paraId="13E94404" w14:textId="77777777" w:rsidR="00D10D54" w:rsidRPr="00645037" w:rsidRDefault="00D10D54" w:rsidP="00645037">
      <w:pPr>
        <w:widowControl w:val="0"/>
        <w:autoSpaceDE w:val="0"/>
        <w:autoSpaceDN w:val="0"/>
        <w:adjustRightInd w:val="0"/>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gramStart"/>
      <w:r w:rsidRPr="00645037">
        <w:rPr>
          <w:rFonts w:ascii="Times New Roman" w:hAnsi="Times New Roman"/>
          <w:i/>
          <w:sz w:val="20"/>
          <w:szCs w:val="20"/>
          <w:lang w:val="en-US"/>
        </w:rPr>
        <w:t xml:space="preserve">Prosecutor v. </w:t>
      </w:r>
      <w:proofErr w:type="spellStart"/>
      <w:r w:rsidRPr="00645037">
        <w:rPr>
          <w:rFonts w:ascii="Times New Roman" w:hAnsi="Times New Roman"/>
          <w:i/>
          <w:sz w:val="20"/>
          <w:szCs w:val="20"/>
          <w:lang w:val="en-US"/>
        </w:rPr>
        <w:t>Bagaragaza</w:t>
      </w:r>
      <w:proofErr w:type="spellEnd"/>
      <w:r w:rsidRPr="00645037">
        <w:rPr>
          <w:rFonts w:ascii="Times New Roman" w:hAnsi="Times New Roman"/>
          <w:i/>
          <w:sz w:val="20"/>
          <w:szCs w:val="20"/>
          <w:lang w:val="en-US"/>
        </w:rPr>
        <w:t xml:space="preserve"> </w:t>
      </w:r>
      <w:r w:rsidRPr="00645037">
        <w:rPr>
          <w:rFonts w:ascii="Times New Roman" w:hAnsi="Times New Roman"/>
          <w:sz w:val="20"/>
          <w:szCs w:val="20"/>
          <w:lang w:val="en-US"/>
        </w:rPr>
        <w:t xml:space="preserve">(ICTR-2005-86-11bis), </w:t>
      </w:r>
      <w:r w:rsidRPr="00645037">
        <w:rPr>
          <w:rFonts w:ascii="Times New Roman" w:hAnsi="Times New Roman"/>
          <w:bCs/>
          <w:sz w:val="20"/>
          <w:szCs w:val="20"/>
          <w:lang w:val="en-US"/>
        </w:rPr>
        <w:t xml:space="preserve">Decision on Prosecutor’s Request for Referral of the Indictment to the Kingdom of the Netherlands, 13 April 2007, </w:t>
      </w:r>
      <w:r w:rsidRPr="00645037">
        <w:rPr>
          <w:rFonts w:ascii="Times New Roman" w:hAnsi="Times New Roman"/>
          <w:sz w:val="20"/>
          <w:szCs w:val="20"/>
          <w:lang w:val="en-US"/>
        </w:rPr>
        <w:t>para.</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23, fn. 33.</w:t>
      </w:r>
      <w:proofErr w:type="gramEnd"/>
    </w:p>
  </w:footnote>
  <w:footnote w:id="19">
    <w:p w14:paraId="76E2FADB" w14:textId="77777777" w:rsidR="00D10D54" w:rsidRPr="00645037" w:rsidRDefault="00D10D54" w:rsidP="00645037">
      <w:pPr>
        <w:pStyle w:val="FootnoteText"/>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spellStart"/>
      <w:r w:rsidRPr="00645037">
        <w:rPr>
          <w:rFonts w:ascii="Times New Roman" w:hAnsi="Times New Roman"/>
          <w:i/>
          <w:sz w:val="20"/>
          <w:szCs w:val="20"/>
          <w:lang w:val="en-US"/>
        </w:rPr>
        <w:t>Nahimana</w:t>
      </w:r>
      <w:proofErr w:type="spellEnd"/>
      <w:r w:rsidRPr="00645037">
        <w:rPr>
          <w:rFonts w:ascii="Times New Roman" w:hAnsi="Times New Roman"/>
          <w:i/>
          <w:sz w:val="20"/>
          <w:szCs w:val="20"/>
          <w:lang w:val="en-US"/>
        </w:rPr>
        <w:t xml:space="preserve"> et al. </w:t>
      </w:r>
      <w:r w:rsidRPr="00645037">
        <w:rPr>
          <w:rFonts w:ascii="Times New Roman" w:hAnsi="Times New Roman"/>
          <w:sz w:val="20"/>
          <w:szCs w:val="20"/>
          <w:lang w:val="en-US"/>
        </w:rPr>
        <w:t xml:space="preserve">v. </w:t>
      </w:r>
      <w:r w:rsidRPr="00645037">
        <w:rPr>
          <w:rFonts w:ascii="Times New Roman" w:hAnsi="Times New Roman"/>
          <w:i/>
          <w:sz w:val="20"/>
          <w:szCs w:val="20"/>
          <w:lang w:val="en-US"/>
        </w:rPr>
        <w:t xml:space="preserve">Prosecutor </w:t>
      </w:r>
      <w:r w:rsidRPr="00645037">
        <w:rPr>
          <w:rFonts w:ascii="Times New Roman" w:hAnsi="Times New Roman"/>
          <w:sz w:val="20"/>
          <w:szCs w:val="20"/>
          <w:lang w:val="en-US"/>
        </w:rPr>
        <w:t>(ICTR-99-52-A), Judgment, 28 November 2007.</w:t>
      </w:r>
    </w:p>
  </w:footnote>
  <w:footnote w:id="20">
    <w:p w14:paraId="7CBEA69B"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spellStart"/>
      <w:r w:rsidRPr="00645037">
        <w:rPr>
          <w:rFonts w:ascii="Times New Roman" w:hAnsi="Times New Roman"/>
          <w:i/>
          <w:sz w:val="20"/>
          <w:szCs w:val="20"/>
          <w:lang w:val="fr-FR"/>
        </w:rPr>
        <w:t>Prosecutor</w:t>
      </w:r>
      <w:proofErr w:type="spellEnd"/>
      <w:r w:rsidRPr="00645037">
        <w:rPr>
          <w:rFonts w:ascii="Times New Roman" w:hAnsi="Times New Roman"/>
          <w:i/>
          <w:sz w:val="20"/>
          <w:szCs w:val="20"/>
          <w:lang w:val="fr-FR"/>
        </w:rPr>
        <w:t xml:space="preserve"> v. </w:t>
      </w:r>
      <w:proofErr w:type="spellStart"/>
      <w:r w:rsidRPr="00645037">
        <w:rPr>
          <w:rFonts w:ascii="Times New Roman" w:hAnsi="Times New Roman"/>
          <w:i/>
          <w:sz w:val="20"/>
          <w:szCs w:val="20"/>
          <w:lang w:val="fr-FR"/>
        </w:rPr>
        <w:t>Seromba</w:t>
      </w:r>
      <w:proofErr w:type="spellEnd"/>
      <w:r w:rsidRPr="00645037">
        <w:rPr>
          <w:rFonts w:ascii="Times New Roman" w:hAnsi="Times New Roman"/>
          <w:i/>
          <w:sz w:val="20"/>
          <w:szCs w:val="20"/>
          <w:lang w:val="fr-FR"/>
        </w:rPr>
        <w:t xml:space="preserve"> </w:t>
      </w:r>
      <w:r w:rsidRPr="00645037">
        <w:rPr>
          <w:rFonts w:ascii="Times New Roman" w:hAnsi="Times New Roman"/>
          <w:sz w:val="20"/>
          <w:szCs w:val="20"/>
          <w:lang w:val="fr-FR"/>
        </w:rPr>
        <w:t>(I</w:t>
      </w:r>
      <w:r w:rsidRPr="00645037">
        <w:rPr>
          <w:rFonts w:ascii="Times New Roman" w:hAnsi="Times New Roman"/>
          <w:iCs/>
          <w:sz w:val="20"/>
          <w:szCs w:val="20"/>
          <w:lang w:val="en-US"/>
        </w:rPr>
        <w:t>CTR-2001-66-A</w:t>
      </w:r>
      <w:r w:rsidRPr="00645037">
        <w:rPr>
          <w:rFonts w:ascii="Times New Roman" w:hAnsi="Times New Roman"/>
          <w:sz w:val="20"/>
          <w:szCs w:val="20"/>
          <w:lang w:val="fr-FR"/>
        </w:rPr>
        <w:t xml:space="preserve">), </w:t>
      </w:r>
      <w:proofErr w:type="spellStart"/>
      <w:r w:rsidRPr="00645037">
        <w:rPr>
          <w:rFonts w:ascii="Times New Roman" w:hAnsi="Times New Roman"/>
          <w:sz w:val="20"/>
          <w:szCs w:val="20"/>
          <w:lang w:val="fr-FR"/>
        </w:rPr>
        <w:t>Judgment</w:t>
      </w:r>
      <w:proofErr w:type="spellEnd"/>
      <w:r w:rsidRPr="00645037">
        <w:rPr>
          <w:rFonts w:ascii="Times New Roman" w:hAnsi="Times New Roman"/>
          <w:sz w:val="20"/>
          <w:szCs w:val="20"/>
          <w:lang w:val="fr-FR"/>
        </w:rPr>
        <w:t>, 12 March 2008, para. 46.</w:t>
      </w:r>
    </w:p>
  </w:footnote>
  <w:footnote w:id="21">
    <w:p w14:paraId="390A7CAC" w14:textId="76BCCA16"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lang w:val="fr-FR"/>
        </w:rPr>
        <w:t>Ibid</w:t>
      </w:r>
      <w:r w:rsidRPr="00645037">
        <w:rPr>
          <w:rFonts w:ascii="Times New Roman" w:hAnsi="Times New Roman"/>
          <w:sz w:val="20"/>
          <w:szCs w:val="20"/>
          <w:lang w:val="fr-FR"/>
        </w:rPr>
        <w:t>.</w:t>
      </w:r>
    </w:p>
  </w:footnote>
  <w:footnote w:id="22">
    <w:p w14:paraId="625DAFC5" w14:textId="7D696702"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lang w:val="fr-FR"/>
        </w:rPr>
        <w:t>Ibid</w:t>
      </w:r>
      <w:r w:rsidRPr="00645037">
        <w:rPr>
          <w:rFonts w:ascii="Times New Roman" w:hAnsi="Times New Roman"/>
          <w:sz w:val="20"/>
          <w:szCs w:val="20"/>
          <w:lang w:val="fr-FR"/>
        </w:rPr>
        <w:t>.</w:t>
      </w:r>
    </w:p>
  </w:footnote>
  <w:footnote w:id="23">
    <w:p w14:paraId="3F2CF7E0" w14:textId="09595FCD"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lang w:val="fr-FR"/>
        </w:rPr>
        <w:t>Ibid</w:t>
      </w:r>
      <w:r w:rsidRPr="00645037">
        <w:rPr>
          <w:rFonts w:ascii="Times New Roman" w:hAnsi="Times New Roman"/>
          <w:sz w:val="20"/>
          <w:szCs w:val="20"/>
          <w:lang w:val="fr-FR"/>
        </w:rPr>
        <w:t>.</w:t>
      </w:r>
    </w:p>
  </w:footnote>
  <w:footnote w:id="24">
    <w:p w14:paraId="3B2E2803" w14:textId="3D03DC48" w:rsidR="00D10D54" w:rsidRPr="00645037" w:rsidRDefault="00D10D54" w:rsidP="00645037">
      <w:pPr>
        <w:widowControl w:val="0"/>
        <w:autoSpaceDE w:val="0"/>
        <w:autoSpaceDN w:val="0"/>
        <w:adjustRightInd w:val="0"/>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lang w:val="fr-FR"/>
        </w:rPr>
        <w:t>Ibid.</w:t>
      </w:r>
      <w:r w:rsidRPr="00645037">
        <w:rPr>
          <w:rFonts w:ascii="Times New Roman" w:hAnsi="Times New Roman"/>
          <w:sz w:val="20"/>
          <w:szCs w:val="20"/>
          <w:lang w:val="fr-FR"/>
        </w:rPr>
        <w:t xml:space="preserve">, </w:t>
      </w:r>
      <w:proofErr w:type="spellStart"/>
      <w:r w:rsidRPr="00645037">
        <w:rPr>
          <w:rFonts w:ascii="Times New Roman" w:hAnsi="Times New Roman"/>
          <w:sz w:val="20"/>
          <w:szCs w:val="20"/>
          <w:lang w:val="fr-FR"/>
        </w:rPr>
        <w:t>fn</w:t>
      </w:r>
      <w:proofErr w:type="spellEnd"/>
      <w:r w:rsidRPr="00645037">
        <w:rPr>
          <w:rFonts w:ascii="Times New Roman" w:hAnsi="Times New Roman"/>
          <w:sz w:val="20"/>
          <w:szCs w:val="20"/>
          <w:lang w:val="fr-FR"/>
        </w:rPr>
        <w:t xml:space="preserve">. 117, </w:t>
      </w:r>
      <w:proofErr w:type="spellStart"/>
      <w:r w:rsidRPr="00645037">
        <w:rPr>
          <w:rFonts w:ascii="Times New Roman" w:hAnsi="Times New Roman"/>
          <w:sz w:val="20"/>
          <w:szCs w:val="20"/>
          <w:lang w:val="fr-FR"/>
        </w:rPr>
        <w:t>citing</w:t>
      </w:r>
      <w:proofErr w:type="spellEnd"/>
      <w:r w:rsidRPr="00645037">
        <w:rPr>
          <w:rFonts w:ascii="Times New Roman" w:hAnsi="Times New Roman"/>
          <w:sz w:val="20"/>
          <w:szCs w:val="20"/>
          <w:lang w:val="fr-FR"/>
        </w:rPr>
        <w:t xml:space="preserve"> </w:t>
      </w:r>
      <w:r w:rsidRPr="00645037">
        <w:rPr>
          <w:rFonts w:ascii="Times New Roman" w:hAnsi="Times New Roman"/>
          <w:i/>
          <w:iCs/>
          <w:sz w:val="20"/>
          <w:szCs w:val="20"/>
          <w:lang w:val="en-US"/>
        </w:rPr>
        <w:t xml:space="preserve">Prosecutor v. </w:t>
      </w:r>
      <w:proofErr w:type="spellStart"/>
      <w:r w:rsidRPr="00645037">
        <w:rPr>
          <w:rFonts w:ascii="Times New Roman" w:hAnsi="Times New Roman"/>
          <w:i/>
          <w:iCs/>
          <w:sz w:val="20"/>
          <w:szCs w:val="20"/>
          <w:lang w:val="en-US"/>
        </w:rPr>
        <w:t>Ntakirutimana</w:t>
      </w:r>
      <w:proofErr w:type="spellEnd"/>
      <w:r w:rsidRPr="00645037">
        <w:rPr>
          <w:rFonts w:ascii="Times New Roman" w:hAnsi="Times New Roman"/>
          <w:i/>
          <w:iCs/>
          <w:sz w:val="20"/>
          <w:szCs w:val="20"/>
          <w:lang w:val="en-US"/>
        </w:rPr>
        <w:t xml:space="preserve"> </w:t>
      </w:r>
      <w:r w:rsidRPr="00645037">
        <w:rPr>
          <w:rFonts w:ascii="Times New Roman" w:hAnsi="Times New Roman"/>
          <w:iCs/>
          <w:sz w:val="20"/>
          <w:szCs w:val="20"/>
          <w:lang w:val="en-US"/>
        </w:rPr>
        <w:t>et al</w:t>
      </w:r>
      <w:r w:rsidRPr="00645037">
        <w:rPr>
          <w:rFonts w:ascii="Times New Roman" w:hAnsi="Times New Roman"/>
          <w:i/>
          <w:iCs/>
          <w:sz w:val="20"/>
          <w:szCs w:val="20"/>
          <w:lang w:val="en-US"/>
        </w:rPr>
        <w:t xml:space="preserve">. </w:t>
      </w:r>
      <w:r w:rsidRPr="00645037">
        <w:rPr>
          <w:rFonts w:ascii="Times New Roman" w:hAnsi="Times New Roman"/>
          <w:iCs/>
          <w:sz w:val="20"/>
          <w:szCs w:val="20"/>
          <w:lang w:val="en-US"/>
        </w:rPr>
        <w:t>(</w:t>
      </w:r>
      <w:r w:rsidRPr="00645037">
        <w:rPr>
          <w:rFonts w:ascii="Times New Roman" w:hAnsi="Times New Roman"/>
          <w:sz w:val="20"/>
          <w:szCs w:val="20"/>
          <w:lang w:val="en-US"/>
        </w:rPr>
        <w:t>ICTR-96-10-A and ICTR-96-17-A)</w:t>
      </w:r>
      <w:proofErr w:type="gramStart"/>
      <w:r w:rsidRPr="00645037">
        <w:rPr>
          <w:rFonts w:ascii="Times New Roman" w:hAnsi="Times New Roman"/>
          <w:sz w:val="20"/>
          <w:szCs w:val="20"/>
          <w:lang w:val="en-US"/>
        </w:rPr>
        <w:t>, Judgment, 13 December 2004</w:t>
      </w:r>
      <w:r w:rsidRPr="00645037">
        <w:rPr>
          <w:rFonts w:ascii="Times New Roman" w:hAnsi="Times New Roman"/>
          <w:sz w:val="20"/>
          <w:szCs w:val="20"/>
          <w:lang w:val="fr-FR"/>
        </w:rPr>
        <w:t>, para.</w:t>
      </w:r>
      <w:proofErr w:type="gramEnd"/>
      <w:r w:rsidRPr="00645037">
        <w:rPr>
          <w:rFonts w:ascii="Times New Roman" w:hAnsi="Times New Roman"/>
          <w:sz w:val="20"/>
          <w:szCs w:val="20"/>
          <w:lang w:val="fr-FR"/>
        </w:rPr>
        <w:t xml:space="preserve"> 855.</w:t>
      </w:r>
    </w:p>
  </w:footnote>
  <w:footnote w:id="25">
    <w:p w14:paraId="74C1DA8C" w14:textId="77777777" w:rsidR="00D10D54" w:rsidRPr="00645037" w:rsidRDefault="00D10D54" w:rsidP="00645037">
      <w:pPr>
        <w:widowControl w:val="0"/>
        <w:autoSpaceDE w:val="0"/>
        <w:autoSpaceDN w:val="0"/>
        <w:adjustRightInd w:val="0"/>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sz w:val="20"/>
          <w:szCs w:val="20"/>
          <w:lang w:val="en-US"/>
        </w:rPr>
        <w:t xml:space="preserve">The reference in </w:t>
      </w:r>
      <w:proofErr w:type="spellStart"/>
      <w:r w:rsidRPr="00645037">
        <w:rPr>
          <w:rFonts w:ascii="Times New Roman" w:hAnsi="Times New Roman"/>
          <w:i/>
          <w:sz w:val="20"/>
          <w:szCs w:val="20"/>
          <w:lang w:val="en-US"/>
        </w:rPr>
        <w:t>Seromba</w:t>
      </w:r>
      <w:proofErr w:type="spellEnd"/>
      <w:r w:rsidRPr="00645037">
        <w:rPr>
          <w:rFonts w:ascii="Times New Roman" w:hAnsi="Times New Roman"/>
          <w:i/>
          <w:sz w:val="20"/>
          <w:szCs w:val="20"/>
          <w:lang w:val="en-US"/>
        </w:rPr>
        <w:t xml:space="preserve"> </w:t>
      </w:r>
      <w:r w:rsidRPr="00645037">
        <w:rPr>
          <w:rFonts w:ascii="Times New Roman" w:hAnsi="Times New Roman"/>
          <w:sz w:val="20"/>
          <w:szCs w:val="20"/>
          <w:lang w:val="en-US"/>
        </w:rPr>
        <w:t xml:space="preserve">is to the Report of the International Law Commission on the Work of its Forty-Eighth Session 6 May-26 July 1996, UN GAOR International Law Commission, 51st Sess., Supp. No. 10, p. 91, UN Doc. </w:t>
      </w:r>
      <w:proofErr w:type="gramStart"/>
      <w:r w:rsidRPr="00645037">
        <w:rPr>
          <w:rFonts w:ascii="Times New Roman" w:hAnsi="Times New Roman"/>
          <w:sz w:val="20"/>
          <w:szCs w:val="20"/>
          <w:lang w:val="en-US"/>
        </w:rPr>
        <w:t>A/51/10 (1996).</w:t>
      </w:r>
      <w:proofErr w:type="gramEnd"/>
      <w:r w:rsidRPr="00645037">
        <w:rPr>
          <w:rFonts w:ascii="Times New Roman" w:hAnsi="Times New Roman"/>
          <w:sz w:val="20"/>
          <w:szCs w:val="20"/>
          <w:lang w:val="en-US"/>
        </w:rPr>
        <w:t xml:space="preserve"> However the precise reference appears to be erroneous; the statement to which the Appeals Chamber seems to have been referring appears on p. 46.</w:t>
      </w:r>
    </w:p>
  </w:footnote>
  <w:footnote w:id="26">
    <w:p w14:paraId="4BEA166F"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spellStart"/>
      <w:r w:rsidRPr="00645037">
        <w:rPr>
          <w:rFonts w:ascii="Times New Roman" w:hAnsi="Times New Roman"/>
          <w:i/>
          <w:sz w:val="20"/>
          <w:szCs w:val="20"/>
          <w:lang w:val="fr-FR"/>
        </w:rPr>
        <w:t>Prosecutor</w:t>
      </w:r>
      <w:proofErr w:type="spellEnd"/>
      <w:r w:rsidRPr="00645037">
        <w:rPr>
          <w:rFonts w:ascii="Times New Roman" w:hAnsi="Times New Roman"/>
          <w:i/>
          <w:sz w:val="20"/>
          <w:szCs w:val="20"/>
          <w:lang w:val="fr-FR"/>
        </w:rPr>
        <w:t xml:space="preserve"> v. </w:t>
      </w:r>
      <w:proofErr w:type="spellStart"/>
      <w:r w:rsidRPr="00645037">
        <w:rPr>
          <w:rFonts w:ascii="Times New Roman" w:hAnsi="Times New Roman"/>
          <w:i/>
          <w:sz w:val="20"/>
          <w:szCs w:val="20"/>
          <w:lang w:val="fr-FR"/>
        </w:rPr>
        <w:t>Seromba</w:t>
      </w:r>
      <w:proofErr w:type="spellEnd"/>
      <w:r w:rsidRPr="00645037">
        <w:rPr>
          <w:rFonts w:ascii="Times New Roman" w:hAnsi="Times New Roman"/>
          <w:i/>
          <w:sz w:val="20"/>
          <w:szCs w:val="20"/>
          <w:lang w:val="fr-FR"/>
        </w:rPr>
        <w:t xml:space="preserve"> </w:t>
      </w:r>
      <w:r w:rsidRPr="00645037">
        <w:rPr>
          <w:rFonts w:ascii="Times New Roman" w:hAnsi="Times New Roman"/>
          <w:sz w:val="20"/>
          <w:szCs w:val="20"/>
          <w:lang w:val="fr-FR"/>
        </w:rPr>
        <w:t>(I</w:t>
      </w:r>
      <w:r w:rsidRPr="00645037">
        <w:rPr>
          <w:rFonts w:ascii="Times New Roman" w:hAnsi="Times New Roman"/>
          <w:iCs/>
          <w:sz w:val="20"/>
          <w:szCs w:val="20"/>
          <w:lang w:val="en-US"/>
        </w:rPr>
        <w:t>CTR-2001-66-A</w:t>
      </w:r>
      <w:r w:rsidRPr="00645037">
        <w:rPr>
          <w:rFonts w:ascii="Times New Roman" w:hAnsi="Times New Roman"/>
          <w:sz w:val="20"/>
          <w:szCs w:val="20"/>
          <w:lang w:val="fr-FR"/>
        </w:rPr>
        <w:t xml:space="preserve">), </w:t>
      </w:r>
      <w:proofErr w:type="spellStart"/>
      <w:r w:rsidRPr="00645037">
        <w:rPr>
          <w:rFonts w:ascii="Times New Roman" w:hAnsi="Times New Roman"/>
          <w:sz w:val="20"/>
          <w:szCs w:val="20"/>
          <w:lang w:val="fr-FR"/>
        </w:rPr>
        <w:t>Judgment</w:t>
      </w:r>
      <w:proofErr w:type="spellEnd"/>
      <w:r w:rsidRPr="00645037">
        <w:rPr>
          <w:rFonts w:ascii="Times New Roman" w:hAnsi="Times New Roman"/>
          <w:sz w:val="20"/>
          <w:szCs w:val="20"/>
          <w:lang w:val="fr-FR"/>
        </w:rPr>
        <w:t>, 12 March 2008, para. 47.</w:t>
      </w:r>
    </w:p>
  </w:footnote>
  <w:footnote w:id="27">
    <w:p w14:paraId="6E6B779D" w14:textId="39DC7415"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lang w:val="fr-FR"/>
        </w:rPr>
        <w:t>Ibid.</w:t>
      </w:r>
      <w:r w:rsidRPr="00645037">
        <w:rPr>
          <w:rFonts w:ascii="Times New Roman" w:hAnsi="Times New Roman"/>
          <w:sz w:val="20"/>
          <w:szCs w:val="20"/>
          <w:lang w:val="fr-FR"/>
        </w:rPr>
        <w:t>, para. 48.</w:t>
      </w:r>
    </w:p>
  </w:footnote>
  <w:footnote w:id="28">
    <w:p w14:paraId="2BD8B354"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gramStart"/>
      <w:r w:rsidRPr="00645037">
        <w:rPr>
          <w:rFonts w:ascii="Times New Roman" w:hAnsi="Times New Roman"/>
          <w:i/>
          <w:sz w:val="20"/>
          <w:szCs w:val="20"/>
        </w:rPr>
        <w:t xml:space="preserve">Prosecutor v. </w:t>
      </w:r>
      <w:proofErr w:type="spellStart"/>
      <w:r w:rsidRPr="00645037">
        <w:rPr>
          <w:rFonts w:ascii="Times New Roman" w:hAnsi="Times New Roman"/>
          <w:i/>
          <w:sz w:val="20"/>
          <w:szCs w:val="20"/>
        </w:rPr>
        <w:t>Karadžić</w:t>
      </w:r>
      <w:proofErr w:type="spellEnd"/>
      <w:r w:rsidRPr="00645037">
        <w:rPr>
          <w:rFonts w:ascii="Times New Roman" w:hAnsi="Times New Roman"/>
          <w:sz w:val="20"/>
          <w:szCs w:val="20"/>
        </w:rPr>
        <w:t xml:space="preserve"> (IT-95-5/18-AR98bis.l), Judgment, 11 July 2013, para.</w:t>
      </w:r>
      <w:proofErr w:type="gramEnd"/>
      <w:r w:rsidRPr="00645037">
        <w:rPr>
          <w:rFonts w:ascii="Times New Roman" w:hAnsi="Times New Roman"/>
          <w:sz w:val="20"/>
          <w:szCs w:val="20"/>
        </w:rPr>
        <w:t xml:space="preserve"> </w:t>
      </w:r>
      <w:proofErr w:type="gramStart"/>
      <w:r w:rsidRPr="00645037">
        <w:rPr>
          <w:rFonts w:ascii="Times New Roman" w:hAnsi="Times New Roman"/>
          <w:sz w:val="20"/>
          <w:szCs w:val="20"/>
        </w:rPr>
        <w:t>32, fn. 83.</w:t>
      </w:r>
      <w:proofErr w:type="gramEnd"/>
    </w:p>
  </w:footnote>
  <w:footnote w:id="29">
    <w:p w14:paraId="33646992"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spellStart"/>
      <w:proofErr w:type="gramStart"/>
      <w:r w:rsidRPr="00645037">
        <w:rPr>
          <w:rFonts w:ascii="Times New Roman" w:hAnsi="Times New Roman"/>
          <w:i/>
          <w:sz w:val="20"/>
          <w:szCs w:val="20"/>
          <w:lang w:val="en-US"/>
        </w:rPr>
        <w:t>Hategekimana</w:t>
      </w:r>
      <w:proofErr w:type="spellEnd"/>
      <w:r w:rsidRPr="00645037">
        <w:rPr>
          <w:rFonts w:ascii="Times New Roman" w:hAnsi="Times New Roman"/>
          <w:i/>
          <w:sz w:val="20"/>
          <w:szCs w:val="20"/>
          <w:lang w:val="en-US"/>
        </w:rPr>
        <w:t xml:space="preserve"> v. Prosecutor </w:t>
      </w:r>
      <w:r w:rsidRPr="00645037">
        <w:rPr>
          <w:rFonts w:ascii="Times New Roman" w:hAnsi="Times New Roman"/>
          <w:sz w:val="20"/>
          <w:szCs w:val="20"/>
          <w:lang w:val="en-US"/>
        </w:rPr>
        <w:t>(ICTR-00-55B-A), Judgment, 8 May 2012, para.</w:t>
      </w:r>
      <w:proofErr w:type="gramEnd"/>
      <w:r w:rsidRPr="00645037">
        <w:rPr>
          <w:rFonts w:ascii="Times New Roman" w:hAnsi="Times New Roman"/>
          <w:sz w:val="20"/>
          <w:szCs w:val="20"/>
          <w:lang w:val="en-US"/>
        </w:rPr>
        <w:t xml:space="preserve"> 133.</w:t>
      </w:r>
    </w:p>
  </w:footnote>
  <w:footnote w:id="30">
    <w:p w14:paraId="2E32C787" w14:textId="0A7DF00A"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spellStart"/>
      <w:r w:rsidRPr="00645037">
        <w:rPr>
          <w:rFonts w:ascii="Times New Roman" w:hAnsi="Times New Roman"/>
          <w:i/>
          <w:sz w:val="20"/>
          <w:szCs w:val="20"/>
          <w:lang w:val="fr-FR"/>
        </w:rPr>
        <w:t>Ibid</w:t>
      </w:r>
      <w:proofErr w:type="spellEnd"/>
      <w:r w:rsidRPr="00645037">
        <w:rPr>
          <w:rFonts w:ascii="Times New Roman" w:hAnsi="Times New Roman"/>
          <w:sz w:val="20"/>
          <w:szCs w:val="20"/>
          <w:lang w:val="en-US"/>
        </w:rPr>
        <w:t>.</w:t>
      </w:r>
    </w:p>
  </w:footnote>
  <w:footnote w:id="31">
    <w:p w14:paraId="6D1D5670"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gramStart"/>
      <w:r w:rsidRPr="00645037">
        <w:rPr>
          <w:rFonts w:ascii="Times New Roman" w:hAnsi="Times New Roman"/>
          <w:i/>
          <w:sz w:val="20"/>
          <w:szCs w:val="20"/>
          <w:lang w:val="en-US"/>
        </w:rPr>
        <w:t xml:space="preserve">Prosecutor v. </w:t>
      </w:r>
      <w:proofErr w:type="spellStart"/>
      <w:r w:rsidRPr="00645037">
        <w:rPr>
          <w:rFonts w:ascii="Times New Roman" w:hAnsi="Times New Roman"/>
          <w:i/>
          <w:sz w:val="20"/>
          <w:szCs w:val="20"/>
          <w:lang w:val="en-US"/>
        </w:rPr>
        <w:t>Gatete</w:t>
      </w:r>
      <w:proofErr w:type="spellEnd"/>
      <w:r w:rsidRPr="00645037">
        <w:rPr>
          <w:rFonts w:ascii="Times New Roman" w:hAnsi="Times New Roman"/>
          <w:i/>
          <w:sz w:val="20"/>
          <w:szCs w:val="20"/>
          <w:lang w:val="en-US"/>
        </w:rPr>
        <w:t xml:space="preserve"> </w:t>
      </w:r>
      <w:r w:rsidRPr="00645037">
        <w:rPr>
          <w:rFonts w:ascii="Times New Roman" w:hAnsi="Times New Roman"/>
          <w:sz w:val="20"/>
          <w:szCs w:val="20"/>
          <w:lang w:val="en-US"/>
        </w:rPr>
        <w:t>(ICTR-00-61-A), Judgment, 9 October 2012, para.</w:t>
      </w:r>
      <w:proofErr w:type="gramEnd"/>
      <w:r w:rsidRPr="00645037">
        <w:rPr>
          <w:rFonts w:ascii="Times New Roman" w:hAnsi="Times New Roman"/>
          <w:sz w:val="20"/>
          <w:szCs w:val="20"/>
          <w:lang w:val="en-US"/>
        </w:rPr>
        <w:t xml:space="preserve"> 260.</w:t>
      </w:r>
    </w:p>
  </w:footnote>
  <w:footnote w:id="32">
    <w:p w14:paraId="198A0312" w14:textId="7CE58008"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lang w:val="fr-FR"/>
        </w:rPr>
        <w:t>Ibid.</w:t>
      </w:r>
      <w:r w:rsidRPr="00645037">
        <w:rPr>
          <w:rFonts w:ascii="Times New Roman" w:hAnsi="Times New Roman"/>
          <w:sz w:val="20"/>
          <w:szCs w:val="20"/>
          <w:lang w:val="en-US"/>
        </w:rPr>
        <w:t>, para. 261.</w:t>
      </w:r>
    </w:p>
  </w:footnote>
  <w:footnote w:id="33">
    <w:p w14:paraId="5EA49118" w14:textId="79DA7F83"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lang w:val="fr-FR"/>
        </w:rPr>
        <w:t>Ibid.</w:t>
      </w:r>
      <w:r w:rsidRPr="00645037">
        <w:rPr>
          <w:rFonts w:ascii="Times New Roman" w:hAnsi="Times New Roman"/>
          <w:sz w:val="20"/>
          <w:szCs w:val="20"/>
          <w:lang w:val="en-US"/>
        </w:rPr>
        <w:t xml:space="preserve">, para. </w:t>
      </w:r>
      <w:proofErr w:type="gramStart"/>
      <w:r w:rsidRPr="00645037">
        <w:rPr>
          <w:rFonts w:ascii="Times New Roman" w:hAnsi="Times New Roman"/>
          <w:sz w:val="20"/>
          <w:szCs w:val="20"/>
          <w:lang w:val="en-US"/>
        </w:rPr>
        <w:t>262 (reference omitted).</w:t>
      </w:r>
      <w:proofErr w:type="gramEnd"/>
    </w:p>
  </w:footnote>
  <w:footnote w:id="34">
    <w:p w14:paraId="6A5F3177"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gramStart"/>
      <w:r w:rsidRPr="00645037">
        <w:rPr>
          <w:rFonts w:ascii="Times New Roman" w:hAnsi="Times New Roman"/>
          <w:i/>
          <w:sz w:val="20"/>
          <w:szCs w:val="20"/>
          <w:lang w:val="en-US"/>
        </w:rPr>
        <w:t xml:space="preserve">Prosecutor v. </w:t>
      </w:r>
      <w:proofErr w:type="spellStart"/>
      <w:r w:rsidRPr="00645037">
        <w:rPr>
          <w:rFonts w:ascii="Times New Roman" w:hAnsi="Times New Roman"/>
          <w:i/>
          <w:sz w:val="20"/>
          <w:szCs w:val="20"/>
          <w:lang w:val="en-US"/>
        </w:rPr>
        <w:t>Gatete</w:t>
      </w:r>
      <w:proofErr w:type="spellEnd"/>
      <w:r w:rsidRPr="00645037">
        <w:rPr>
          <w:rFonts w:ascii="Times New Roman" w:hAnsi="Times New Roman"/>
          <w:i/>
          <w:sz w:val="20"/>
          <w:szCs w:val="20"/>
          <w:lang w:val="en-US"/>
        </w:rPr>
        <w:t xml:space="preserve"> </w:t>
      </w:r>
      <w:r w:rsidRPr="00645037">
        <w:rPr>
          <w:rFonts w:ascii="Times New Roman" w:hAnsi="Times New Roman"/>
          <w:sz w:val="20"/>
          <w:szCs w:val="20"/>
          <w:lang w:val="en-US"/>
        </w:rPr>
        <w:t xml:space="preserve">(ICTR-00-61-A), Dissenting Opinion of Judge </w:t>
      </w:r>
      <w:proofErr w:type="spellStart"/>
      <w:r w:rsidRPr="00645037">
        <w:rPr>
          <w:rFonts w:ascii="Times New Roman" w:hAnsi="Times New Roman"/>
          <w:sz w:val="20"/>
          <w:szCs w:val="20"/>
          <w:lang w:val="en-US"/>
        </w:rPr>
        <w:t>Agius</w:t>
      </w:r>
      <w:proofErr w:type="spellEnd"/>
      <w:r w:rsidRPr="00645037">
        <w:rPr>
          <w:rFonts w:ascii="Times New Roman" w:hAnsi="Times New Roman"/>
          <w:sz w:val="20"/>
          <w:szCs w:val="20"/>
          <w:lang w:val="en-US"/>
        </w:rPr>
        <w:t>, 9 October 2012, para.</w:t>
      </w:r>
      <w:proofErr w:type="gramEnd"/>
      <w:r w:rsidRPr="00645037">
        <w:rPr>
          <w:rFonts w:ascii="Times New Roman" w:hAnsi="Times New Roman"/>
          <w:sz w:val="20"/>
          <w:szCs w:val="20"/>
          <w:lang w:val="en-US"/>
        </w:rPr>
        <w:t xml:space="preserve"> 3.</w:t>
      </w:r>
    </w:p>
  </w:footnote>
  <w:footnote w:id="35">
    <w:p w14:paraId="60F983B6" w14:textId="250D0701"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lang w:val="fr-FR"/>
        </w:rPr>
        <w:t>Ibid.</w:t>
      </w:r>
      <w:r w:rsidRPr="00645037">
        <w:rPr>
          <w:rFonts w:ascii="Times New Roman" w:hAnsi="Times New Roman"/>
          <w:sz w:val="20"/>
          <w:szCs w:val="20"/>
          <w:lang w:val="en-US"/>
        </w:rPr>
        <w:t>, para. 4.</w:t>
      </w:r>
    </w:p>
  </w:footnote>
  <w:footnote w:id="36">
    <w:p w14:paraId="5F3EC305" w14:textId="06C13F0C"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lang w:val="fr-FR"/>
        </w:rPr>
        <w:t>Ibid.</w:t>
      </w:r>
      <w:r w:rsidRPr="00645037">
        <w:rPr>
          <w:rFonts w:ascii="Times New Roman" w:hAnsi="Times New Roman"/>
          <w:sz w:val="20"/>
          <w:szCs w:val="20"/>
          <w:lang w:val="en-US"/>
        </w:rPr>
        <w:t xml:space="preserve">, para. 5. For the discussion to which Judge </w:t>
      </w:r>
      <w:proofErr w:type="spellStart"/>
      <w:r w:rsidRPr="00645037">
        <w:rPr>
          <w:rFonts w:ascii="Times New Roman" w:hAnsi="Times New Roman"/>
          <w:sz w:val="20"/>
          <w:szCs w:val="20"/>
          <w:lang w:val="en-US"/>
        </w:rPr>
        <w:t>Agius</w:t>
      </w:r>
      <w:proofErr w:type="spellEnd"/>
      <w:r w:rsidRPr="00645037">
        <w:rPr>
          <w:rFonts w:ascii="Times New Roman" w:hAnsi="Times New Roman"/>
          <w:sz w:val="20"/>
          <w:szCs w:val="20"/>
          <w:lang w:val="en-US"/>
        </w:rPr>
        <w:t xml:space="preserve"> refers, see: </w:t>
      </w:r>
      <w:r w:rsidRPr="00645037">
        <w:rPr>
          <w:rFonts w:ascii="Times New Roman" w:hAnsi="Times New Roman"/>
          <w:i/>
          <w:sz w:val="20"/>
          <w:szCs w:val="20"/>
        </w:rPr>
        <w:t xml:space="preserve">Prosecutor v. </w:t>
      </w:r>
      <w:proofErr w:type="spellStart"/>
      <w:r w:rsidRPr="00645037">
        <w:rPr>
          <w:rFonts w:ascii="Times New Roman" w:hAnsi="Times New Roman"/>
          <w:i/>
          <w:sz w:val="20"/>
          <w:szCs w:val="20"/>
          <w:lang w:val="fr-FR"/>
        </w:rPr>
        <w:t>Popovi</w:t>
      </w:r>
      <w:proofErr w:type="spellEnd"/>
      <w:r w:rsidRPr="00645037">
        <w:rPr>
          <w:rFonts w:ascii="Times New Roman" w:hAnsi="Times New Roman"/>
          <w:i/>
          <w:sz w:val="20"/>
          <w:szCs w:val="20"/>
          <w:lang w:val="en-US"/>
        </w:rPr>
        <w:t>ć</w:t>
      </w:r>
      <w:r w:rsidRPr="00645037">
        <w:rPr>
          <w:rFonts w:ascii="Times New Roman" w:hAnsi="Times New Roman"/>
          <w:i/>
          <w:sz w:val="20"/>
          <w:szCs w:val="20"/>
          <w:lang w:val="fr-FR"/>
        </w:rPr>
        <w:t xml:space="preserve"> et al.</w:t>
      </w:r>
      <w:r w:rsidRPr="00645037">
        <w:rPr>
          <w:rFonts w:ascii="Times New Roman" w:hAnsi="Times New Roman"/>
          <w:sz w:val="20"/>
          <w:szCs w:val="20"/>
          <w:lang w:val="fr-FR"/>
        </w:rPr>
        <w:t xml:space="preserve"> (IT </w:t>
      </w:r>
      <w:r w:rsidRPr="00645037">
        <w:rPr>
          <w:rFonts w:ascii="Times New Roman" w:hAnsi="Times New Roman"/>
          <w:sz w:val="20"/>
          <w:szCs w:val="20"/>
          <w:lang w:val="en-US"/>
        </w:rPr>
        <w:t xml:space="preserve">IT-05-88-T), Judgment, 10 June 2010, </w:t>
      </w:r>
      <w:proofErr w:type="spellStart"/>
      <w:r w:rsidRPr="00645037">
        <w:rPr>
          <w:rFonts w:ascii="Times New Roman" w:hAnsi="Times New Roman"/>
          <w:sz w:val="20"/>
          <w:szCs w:val="20"/>
          <w:lang w:val="en-US"/>
        </w:rPr>
        <w:t>paras</w:t>
      </w:r>
      <w:proofErr w:type="spellEnd"/>
      <w:r w:rsidRPr="00645037">
        <w:rPr>
          <w:rFonts w:ascii="Times New Roman" w:hAnsi="Times New Roman"/>
          <w:sz w:val="20"/>
          <w:szCs w:val="20"/>
          <w:lang w:val="en-US"/>
        </w:rPr>
        <w:t>. 2111-2127.</w:t>
      </w:r>
    </w:p>
  </w:footnote>
  <w:footnote w:id="37">
    <w:p w14:paraId="05CC71DC"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spellStart"/>
      <w:r w:rsidRPr="00645037">
        <w:rPr>
          <w:rFonts w:ascii="Times New Roman" w:hAnsi="Times New Roman"/>
          <w:i/>
          <w:sz w:val="20"/>
          <w:szCs w:val="20"/>
          <w:lang w:val="fr-FR"/>
        </w:rPr>
        <w:t>Prosecutor</w:t>
      </w:r>
      <w:proofErr w:type="spellEnd"/>
      <w:r w:rsidRPr="00645037">
        <w:rPr>
          <w:rFonts w:ascii="Times New Roman" w:hAnsi="Times New Roman"/>
          <w:i/>
          <w:sz w:val="20"/>
          <w:szCs w:val="20"/>
          <w:lang w:val="fr-FR"/>
        </w:rPr>
        <w:t xml:space="preserve"> v. </w:t>
      </w:r>
      <w:proofErr w:type="spellStart"/>
      <w:r w:rsidRPr="00645037">
        <w:rPr>
          <w:rFonts w:ascii="Times New Roman" w:hAnsi="Times New Roman"/>
          <w:i/>
          <w:sz w:val="20"/>
          <w:szCs w:val="20"/>
          <w:lang w:val="fr-FR"/>
        </w:rPr>
        <w:t>Bashir</w:t>
      </w:r>
      <w:proofErr w:type="spellEnd"/>
      <w:r w:rsidRPr="00645037">
        <w:rPr>
          <w:rFonts w:ascii="Times New Roman" w:hAnsi="Times New Roman"/>
          <w:i/>
          <w:sz w:val="20"/>
          <w:szCs w:val="20"/>
          <w:lang w:val="fr-FR"/>
        </w:rPr>
        <w:t xml:space="preserve"> </w:t>
      </w:r>
      <w:r w:rsidRPr="00645037">
        <w:rPr>
          <w:rFonts w:ascii="Times New Roman" w:hAnsi="Times New Roman"/>
          <w:sz w:val="20"/>
          <w:szCs w:val="20"/>
          <w:lang w:val="fr-FR"/>
        </w:rPr>
        <w:t>(</w:t>
      </w:r>
      <w:r w:rsidRPr="00645037">
        <w:rPr>
          <w:rFonts w:ascii="Times New Roman" w:hAnsi="Times New Roman"/>
          <w:sz w:val="20"/>
          <w:szCs w:val="20"/>
          <w:lang w:val="en-US"/>
        </w:rPr>
        <w:t>ICC-02/05-01/09), Decision on the Prosecution's Application for a Warrant of Arrest against Omar Hassan Ahmad Al Bashir, 4 March 2009.</w:t>
      </w:r>
    </w:p>
  </w:footnote>
  <w:footnote w:id="38">
    <w:p w14:paraId="0F38ACA3"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gramStart"/>
      <w:r w:rsidRPr="00645037">
        <w:rPr>
          <w:rFonts w:ascii="Times New Roman" w:hAnsi="Times New Roman"/>
          <w:i/>
          <w:sz w:val="20"/>
          <w:szCs w:val="20"/>
        </w:rPr>
        <w:t xml:space="preserve">Prosecutor v. </w:t>
      </w:r>
      <w:r w:rsidRPr="00645037">
        <w:rPr>
          <w:rStyle w:val="x-italic"/>
          <w:rFonts w:ascii="Times New Roman" w:hAnsi="Times New Roman"/>
          <w:iCs/>
          <w:sz w:val="20"/>
          <w:szCs w:val="20"/>
        </w:rPr>
        <w:t xml:space="preserve">Bashir </w:t>
      </w:r>
      <w:r w:rsidRPr="00645037">
        <w:rPr>
          <w:rFonts w:ascii="Times New Roman" w:hAnsi="Times New Roman"/>
          <w:sz w:val="20"/>
          <w:szCs w:val="20"/>
        </w:rPr>
        <w:t>(ICC-02/05-01/09),</w:t>
      </w:r>
      <w:r w:rsidRPr="00645037">
        <w:rPr>
          <w:rFonts w:ascii="Times New Roman" w:hAnsi="Times New Roman"/>
          <w:sz w:val="20"/>
          <w:szCs w:val="20"/>
          <w:lang w:val="en-US"/>
        </w:rPr>
        <w:t xml:space="preserve"> </w:t>
      </w:r>
      <w:r w:rsidRPr="00645037">
        <w:rPr>
          <w:rFonts w:ascii="Times New Roman" w:hAnsi="Times New Roman"/>
          <w:sz w:val="20"/>
          <w:szCs w:val="20"/>
        </w:rPr>
        <w:t xml:space="preserve">Judgment on the appeal of the Prosecutor against the "Decision on the Prosecution's Application for a Warrant of Arrest against Omar Hassan Ahmad Al Bashir", </w:t>
      </w:r>
      <w:r w:rsidRPr="00645037">
        <w:rPr>
          <w:rFonts w:ascii="Times New Roman" w:hAnsi="Times New Roman"/>
          <w:sz w:val="20"/>
          <w:szCs w:val="20"/>
          <w:lang w:val="en-US"/>
        </w:rPr>
        <w:t>3 February 2010.</w:t>
      </w:r>
      <w:proofErr w:type="gramEnd"/>
    </w:p>
  </w:footnote>
  <w:footnote w:id="39">
    <w:p w14:paraId="0C43A709"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 xml:space="preserve">Prosecutor v. </w:t>
      </w:r>
      <w:r w:rsidRPr="00645037">
        <w:rPr>
          <w:rStyle w:val="x-italic"/>
          <w:rFonts w:ascii="Times New Roman" w:hAnsi="Times New Roman"/>
          <w:iCs/>
          <w:sz w:val="20"/>
          <w:szCs w:val="20"/>
        </w:rPr>
        <w:t xml:space="preserve">Bashir </w:t>
      </w:r>
      <w:r w:rsidRPr="00645037">
        <w:rPr>
          <w:rFonts w:ascii="Times New Roman" w:hAnsi="Times New Roman"/>
          <w:sz w:val="20"/>
          <w:szCs w:val="20"/>
        </w:rPr>
        <w:t>(ICC-02/05-01/09), Second Decision on the Prosecution’s Application for a Warrant of Arrest against Omar Hassan Ahmad Al Bashir, 12 July 2010</w:t>
      </w:r>
      <w:r w:rsidRPr="00645037">
        <w:rPr>
          <w:rFonts w:ascii="Times New Roman" w:hAnsi="Times New Roman"/>
          <w:sz w:val="20"/>
          <w:szCs w:val="20"/>
          <w:lang w:val="fr-FR"/>
        </w:rPr>
        <w:t>.</w:t>
      </w:r>
    </w:p>
  </w:footnote>
  <w:footnote w:id="40">
    <w:p w14:paraId="1A6BB221"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 xml:space="preserve">Prosecutor v. </w:t>
      </w:r>
      <w:r w:rsidRPr="00645037">
        <w:rPr>
          <w:rStyle w:val="x-italic"/>
          <w:rFonts w:ascii="Times New Roman" w:hAnsi="Times New Roman"/>
          <w:iCs/>
          <w:sz w:val="20"/>
          <w:szCs w:val="20"/>
        </w:rPr>
        <w:t xml:space="preserve">Bashir </w:t>
      </w:r>
      <w:r w:rsidRPr="00645037">
        <w:rPr>
          <w:rFonts w:ascii="Times New Roman" w:hAnsi="Times New Roman"/>
          <w:sz w:val="20"/>
          <w:szCs w:val="20"/>
        </w:rPr>
        <w:t>(ICC-02/05-01/09), Decision on the Prosecution’s Application for a Warrant of Arrest against Omar Hassan Ahmad Al Bashir, 4 March 2009</w:t>
      </w:r>
      <w:r w:rsidRPr="00645037">
        <w:rPr>
          <w:rFonts w:ascii="Times New Roman" w:hAnsi="Times New Roman"/>
          <w:sz w:val="20"/>
          <w:szCs w:val="20"/>
          <w:lang w:val="fr-FR"/>
        </w:rPr>
        <w:t xml:space="preserve">, para. 114, </w:t>
      </w:r>
      <w:proofErr w:type="spellStart"/>
      <w:r w:rsidRPr="00645037">
        <w:rPr>
          <w:rFonts w:ascii="Times New Roman" w:hAnsi="Times New Roman"/>
          <w:sz w:val="20"/>
          <w:szCs w:val="20"/>
          <w:lang w:val="fr-FR"/>
        </w:rPr>
        <w:t>fn</w:t>
      </w:r>
      <w:proofErr w:type="spellEnd"/>
      <w:r w:rsidRPr="00645037">
        <w:rPr>
          <w:rFonts w:ascii="Times New Roman" w:hAnsi="Times New Roman"/>
          <w:sz w:val="20"/>
          <w:szCs w:val="20"/>
          <w:lang w:val="fr-FR"/>
        </w:rPr>
        <w:t xml:space="preserve">. 133, para. 135, </w:t>
      </w:r>
      <w:proofErr w:type="spellStart"/>
      <w:r w:rsidRPr="00645037">
        <w:rPr>
          <w:rFonts w:ascii="Times New Roman" w:hAnsi="Times New Roman"/>
          <w:sz w:val="20"/>
          <w:szCs w:val="20"/>
          <w:lang w:val="fr-FR"/>
        </w:rPr>
        <w:t>fns</w:t>
      </w:r>
      <w:proofErr w:type="spellEnd"/>
      <w:r w:rsidRPr="00645037">
        <w:rPr>
          <w:rFonts w:ascii="Times New Roman" w:hAnsi="Times New Roman"/>
          <w:sz w:val="20"/>
          <w:szCs w:val="20"/>
          <w:lang w:val="fr-FR"/>
        </w:rPr>
        <w:t xml:space="preserve">. 148, 149 and 150, para. 137, </w:t>
      </w:r>
      <w:proofErr w:type="spellStart"/>
      <w:r w:rsidRPr="00645037">
        <w:rPr>
          <w:rFonts w:ascii="Times New Roman" w:hAnsi="Times New Roman"/>
          <w:sz w:val="20"/>
          <w:szCs w:val="20"/>
          <w:lang w:val="fr-FR"/>
        </w:rPr>
        <w:t>fn</w:t>
      </w:r>
      <w:proofErr w:type="spellEnd"/>
      <w:r w:rsidRPr="00645037">
        <w:rPr>
          <w:rFonts w:ascii="Times New Roman" w:hAnsi="Times New Roman"/>
          <w:sz w:val="20"/>
          <w:szCs w:val="20"/>
          <w:lang w:val="fr-FR"/>
        </w:rPr>
        <w:t xml:space="preserve">. 152, para. 138, </w:t>
      </w:r>
      <w:proofErr w:type="spellStart"/>
      <w:r w:rsidRPr="00645037">
        <w:rPr>
          <w:rFonts w:ascii="Times New Roman" w:hAnsi="Times New Roman"/>
          <w:sz w:val="20"/>
          <w:szCs w:val="20"/>
          <w:lang w:val="fr-FR"/>
        </w:rPr>
        <w:t>fn</w:t>
      </w:r>
      <w:proofErr w:type="spellEnd"/>
      <w:r w:rsidRPr="00645037">
        <w:rPr>
          <w:rFonts w:ascii="Times New Roman" w:hAnsi="Times New Roman"/>
          <w:sz w:val="20"/>
          <w:szCs w:val="20"/>
          <w:lang w:val="fr-FR"/>
        </w:rPr>
        <w:t xml:space="preserve">. 153, para. 139, </w:t>
      </w:r>
      <w:proofErr w:type="spellStart"/>
      <w:r w:rsidRPr="00645037">
        <w:rPr>
          <w:rFonts w:ascii="Times New Roman" w:hAnsi="Times New Roman"/>
          <w:sz w:val="20"/>
          <w:szCs w:val="20"/>
          <w:lang w:val="fr-FR"/>
        </w:rPr>
        <w:t>fn</w:t>
      </w:r>
      <w:proofErr w:type="spellEnd"/>
      <w:r w:rsidRPr="00645037">
        <w:rPr>
          <w:rFonts w:ascii="Times New Roman" w:hAnsi="Times New Roman"/>
          <w:sz w:val="20"/>
          <w:szCs w:val="20"/>
          <w:lang w:val="fr-FR"/>
        </w:rPr>
        <w:t xml:space="preserve">. 154, para. 140, </w:t>
      </w:r>
      <w:proofErr w:type="spellStart"/>
      <w:r w:rsidRPr="00645037">
        <w:rPr>
          <w:rFonts w:ascii="Times New Roman" w:hAnsi="Times New Roman"/>
          <w:sz w:val="20"/>
          <w:szCs w:val="20"/>
          <w:lang w:val="fr-FR"/>
        </w:rPr>
        <w:t>fn</w:t>
      </w:r>
      <w:proofErr w:type="spellEnd"/>
      <w:r w:rsidRPr="00645037">
        <w:rPr>
          <w:rFonts w:ascii="Times New Roman" w:hAnsi="Times New Roman"/>
          <w:sz w:val="20"/>
          <w:szCs w:val="20"/>
          <w:lang w:val="fr-FR"/>
        </w:rPr>
        <w:t xml:space="preserve">. 155, para. 142, </w:t>
      </w:r>
      <w:proofErr w:type="spellStart"/>
      <w:r w:rsidRPr="00645037">
        <w:rPr>
          <w:rFonts w:ascii="Times New Roman" w:hAnsi="Times New Roman"/>
          <w:sz w:val="20"/>
          <w:szCs w:val="20"/>
          <w:lang w:val="fr-FR"/>
        </w:rPr>
        <w:t>fn</w:t>
      </w:r>
      <w:proofErr w:type="spellEnd"/>
      <w:r w:rsidRPr="00645037">
        <w:rPr>
          <w:rFonts w:ascii="Times New Roman" w:hAnsi="Times New Roman"/>
          <w:sz w:val="20"/>
          <w:szCs w:val="20"/>
          <w:lang w:val="fr-FR"/>
        </w:rPr>
        <w:t xml:space="preserve">. 156, para. 143, </w:t>
      </w:r>
      <w:proofErr w:type="spellStart"/>
      <w:r w:rsidRPr="00645037">
        <w:rPr>
          <w:rFonts w:ascii="Times New Roman" w:hAnsi="Times New Roman"/>
          <w:sz w:val="20"/>
          <w:szCs w:val="20"/>
          <w:lang w:val="fr-FR"/>
        </w:rPr>
        <w:t>fn</w:t>
      </w:r>
      <w:proofErr w:type="spellEnd"/>
      <w:r w:rsidRPr="00645037">
        <w:rPr>
          <w:rFonts w:ascii="Times New Roman" w:hAnsi="Times New Roman"/>
          <w:sz w:val="20"/>
          <w:szCs w:val="20"/>
          <w:lang w:val="fr-FR"/>
        </w:rPr>
        <w:t xml:space="preserve">. 157, para. 144, </w:t>
      </w:r>
      <w:proofErr w:type="spellStart"/>
      <w:r w:rsidRPr="00645037">
        <w:rPr>
          <w:rFonts w:ascii="Times New Roman" w:hAnsi="Times New Roman"/>
          <w:sz w:val="20"/>
          <w:szCs w:val="20"/>
          <w:lang w:val="fr-FR"/>
        </w:rPr>
        <w:t>fns</w:t>
      </w:r>
      <w:proofErr w:type="spellEnd"/>
      <w:r w:rsidRPr="00645037">
        <w:rPr>
          <w:rFonts w:ascii="Times New Roman" w:hAnsi="Times New Roman"/>
          <w:sz w:val="20"/>
          <w:szCs w:val="20"/>
          <w:lang w:val="fr-FR"/>
        </w:rPr>
        <w:t xml:space="preserve">. 158, 159 and 160, para. 146, </w:t>
      </w:r>
      <w:proofErr w:type="spellStart"/>
      <w:r w:rsidRPr="00645037">
        <w:rPr>
          <w:rFonts w:ascii="Times New Roman" w:hAnsi="Times New Roman"/>
          <w:sz w:val="20"/>
          <w:szCs w:val="20"/>
          <w:lang w:val="fr-FR"/>
        </w:rPr>
        <w:t>fns</w:t>
      </w:r>
      <w:proofErr w:type="spellEnd"/>
      <w:r w:rsidRPr="00645037">
        <w:rPr>
          <w:rFonts w:ascii="Times New Roman" w:hAnsi="Times New Roman"/>
          <w:sz w:val="20"/>
          <w:szCs w:val="20"/>
          <w:lang w:val="fr-FR"/>
        </w:rPr>
        <w:t xml:space="preserve">. 161, 162 and 163, para. 167, </w:t>
      </w:r>
      <w:proofErr w:type="spellStart"/>
      <w:r w:rsidRPr="00645037">
        <w:rPr>
          <w:rFonts w:ascii="Times New Roman" w:hAnsi="Times New Roman"/>
          <w:sz w:val="20"/>
          <w:szCs w:val="20"/>
          <w:lang w:val="fr-FR"/>
        </w:rPr>
        <w:t>fn</w:t>
      </w:r>
      <w:proofErr w:type="spellEnd"/>
      <w:r w:rsidRPr="00645037">
        <w:rPr>
          <w:rFonts w:ascii="Times New Roman" w:hAnsi="Times New Roman"/>
          <w:sz w:val="20"/>
          <w:szCs w:val="20"/>
          <w:lang w:val="fr-FR"/>
        </w:rPr>
        <w:t xml:space="preserve">. 188, para. 182, </w:t>
      </w:r>
      <w:proofErr w:type="spellStart"/>
      <w:r w:rsidRPr="00645037">
        <w:rPr>
          <w:rFonts w:ascii="Times New Roman" w:hAnsi="Times New Roman"/>
          <w:sz w:val="20"/>
          <w:szCs w:val="20"/>
          <w:lang w:val="fr-FR"/>
        </w:rPr>
        <w:t>fns</w:t>
      </w:r>
      <w:proofErr w:type="spellEnd"/>
      <w:r w:rsidRPr="00645037">
        <w:rPr>
          <w:rFonts w:ascii="Times New Roman" w:hAnsi="Times New Roman"/>
          <w:sz w:val="20"/>
          <w:szCs w:val="20"/>
          <w:lang w:val="fr-FR"/>
        </w:rPr>
        <w:t xml:space="preserve">. 202, 203, 204, 205 and 206, para. 183, </w:t>
      </w:r>
      <w:proofErr w:type="spellStart"/>
      <w:r w:rsidRPr="00645037">
        <w:rPr>
          <w:rFonts w:ascii="Times New Roman" w:hAnsi="Times New Roman"/>
          <w:sz w:val="20"/>
          <w:szCs w:val="20"/>
          <w:lang w:val="fr-FR"/>
        </w:rPr>
        <w:t>fns</w:t>
      </w:r>
      <w:proofErr w:type="spellEnd"/>
      <w:r w:rsidRPr="00645037">
        <w:rPr>
          <w:rFonts w:ascii="Times New Roman" w:hAnsi="Times New Roman"/>
          <w:sz w:val="20"/>
          <w:szCs w:val="20"/>
          <w:lang w:val="fr-FR"/>
        </w:rPr>
        <w:t xml:space="preserve">. 207 and 208, para. 194, </w:t>
      </w:r>
      <w:proofErr w:type="spellStart"/>
      <w:r w:rsidRPr="00645037">
        <w:rPr>
          <w:rFonts w:ascii="Times New Roman" w:hAnsi="Times New Roman"/>
          <w:sz w:val="20"/>
          <w:szCs w:val="20"/>
          <w:lang w:val="fr-FR"/>
        </w:rPr>
        <w:t>fn</w:t>
      </w:r>
      <w:proofErr w:type="spellEnd"/>
      <w:r w:rsidRPr="00645037">
        <w:rPr>
          <w:rFonts w:ascii="Times New Roman" w:hAnsi="Times New Roman"/>
          <w:sz w:val="20"/>
          <w:szCs w:val="20"/>
          <w:lang w:val="fr-FR"/>
        </w:rPr>
        <w:t>. 221.</w:t>
      </w:r>
    </w:p>
  </w:footnote>
  <w:footnote w:id="41">
    <w:p w14:paraId="309D55C2"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sz w:val="20"/>
          <w:szCs w:val="20"/>
          <w:lang w:val="fr-FR"/>
        </w:rPr>
        <w:t xml:space="preserve">Rome </w:t>
      </w:r>
      <w:proofErr w:type="spellStart"/>
      <w:r w:rsidRPr="00645037">
        <w:rPr>
          <w:rFonts w:ascii="Times New Roman" w:hAnsi="Times New Roman"/>
          <w:sz w:val="20"/>
          <w:szCs w:val="20"/>
          <w:lang w:val="fr-FR"/>
        </w:rPr>
        <w:t>Statute</w:t>
      </w:r>
      <w:proofErr w:type="spellEnd"/>
      <w:r w:rsidRPr="00645037">
        <w:rPr>
          <w:rFonts w:ascii="Times New Roman" w:hAnsi="Times New Roman"/>
          <w:sz w:val="20"/>
          <w:szCs w:val="20"/>
          <w:lang w:val="fr-FR"/>
        </w:rPr>
        <w:t xml:space="preserve"> of the International </w:t>
      </w:r>
      <w:proofErr w:type="spellStart"/>
      <w:r w:rsidRPr="00645037">
        <w:rPr>
          <w:rFonts w:ascii="Times New Roman" w:hAnsi="Times New Roman"/>
          <w:sz w:val="20"/>
          <w:szCs w:val="20"/>
          <w:lang w:val="fr-FR"/>
        </w:rPr>
        <w:t>Criminal</w:t>
      </w:r>
      <w:proofErr w:type="spellEnd"/>
      <w:r w:rsidRPr="00645037">
        <w:rPr>
          <w:rFonts w:ascii="Times New Roman" w:hAnsi="Times New Roman"/>
          <w:sz w:val="20"/>
          <w:szCs w:val="20"/>
          <w:lang w:val="fr-FR"/>
        </w:rPr>
        <w:t xml:space="preserve"> Court, (2002) </w:t>
      </w:r>
      <w:r w:rsidRPr="00645037">
        <w:rPr>
          <w:rStyle w:val="st"/>
          <w:rFonts w:ascii="Times New Roman" w:hAnsi="Times New Roman"/>
          <w:sz w:val="20"/>
          <w:szCs w:val="20"/>
        </w:rPr>
        <w:t xml:space="preserve">187 </w:t>
      </w:r>
      <w:r w:rsidRPr="00645037">
        <w:rPr>
          <w:rStyle w:val="Emphasis"/>
          <w:rFonts w:ascii="Times New Roman" w:hAnsi="Times New Roman"/>
          <w:i w:val="0"/>
          <w:iCs/>
          <w:sz w:val="20"/>
          <w:szCs w:val="20"/>
        </w:rPr>
        <w:t>UNTS</w:t>
      </w:r>
      <w:r w:rsidRPr="00645037">
        <w:rPr>
          <w:rStyle w:val="st"/>
          <w:rFonts w:ascii="Times New Roman" w:hAnsi="Times New Roman"/>
          <w:sz w:val="20"/>
          <w:szCs w:val="20"/>
        </w:rPr>
        <w:t xml:space="preserve"> 90,</w:t>
      </w:r>
      <w:r w:rsidRPr="00645037">
        <w:rPr>
          <w:rFonts w:ascii="Times New Roman" w:hAnsi="Times New Roman"/>
          <w:sz w:val="20"/>
          <w:szCs w:val="20"/>
          <w:lang w:val="fr-FR"/>
        </w:rPr>
        <w:t xml:space="preserve"> art. 9(3).</w:t>
      </w:r>
    </w:p>
  </w:footnote>
  <w:footnote w:id="42">
    <w:p w14:paraId="1EEFCF0B" w14:textId="44ACB3D1"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lang w:val="fr-FR"/>
        </w:rPr>
        <w:t>Ibid.</w:t>
      </w:r>
      <w:r w:rsidRPr="00645037">
        <w:rPr>
          <w:rStyle w:val="st"/>
          <w:rFonts w:ascii="Times New Roman" w:hAnsi="Times New Roman"/>
          <w:sz w:val="20"/>
          <w:szCs w:val="20"/>
        </w:rPr>
        <w:t>,</w:t>
      </w:r>
      <w:r w:rsidRPr="00645037">
        <w:rPr>
          <w:rFonts w:ascii="Times New Roman" w:hAnsi="Times New Roman"/>
          <w:sz w:val="20"/>
          <w:szCs w:val="20"/>
          <w:lang w:val="fr-FR"/>
        </w:rPr>
        <w:t xml:space="preserve"> art. 21(1</w:t>
      </w:r>
      <w:proofErr w:type="gramStart"/>
      <w:r w:rsidRPr="00645037">
        <w:rPr>
          <w:rFonts w:ascii="Times New Roman" w:hAnsi="Times New Roman"/>
          <w:sz w:val="20"/>
          <w:szCs w:val="20"/>
          <w:lang w:val="fr-FR"/>
        </w:rPr>
        <w:t>)(</w:t>
      </w:r>
      <w:proofErr w:type="gramEnd"/>
      <w:r w:rsidRPr="00645037">
        <w:rPr>
          <w:rFonts w:ascii="Times New Roman" w:hAnsi="Times New Roman"/>
          <w:sz w:val="20"/>
          <w:szCs w:val="20"/>
          <w:lang w:val="fr-FR"/>
        </w:rPr>
        <w:t>a).</w:t>
      </w:r>
    </w:p>
  </w:footnote>
  <w:footnote w:id="43">
    <w:p w14:paraId="70E68B1F" w14:textId="77777777" w:rsidR="00D10D54" w:rsidRPr="00645037" w:rsidRDefault="00D10D54" w:rsidP="00645037">
      <w:pPr>
        <w:widowControl w:val="0"/>
        <w:autoSpaceDE w:val="0"/>
        <w:autoSpaceDN w:val="0"/>
        <w:adjustRightInd w:val="0"/>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spellStart"/>
      <w:r w:rsidRPr="00645037">
        <w:rPr>
          <w:rFonts w:ascii="Times New Roman" w:hAnsi="Times New Roman"/>
          <w:i/>
          <w:sz w:val="20"/>
          <w:szCs w:val="20"/>
          <w:lang w:val="fr-FR"/>
        </w:rPr>
        <w:t>Prosecutor</w:t>
      </w:r>
      <w:proofErr w:type="spellEnd"/>
      <w:r w:rsidRPr="00645037">
        <w:rPr>
          <w:rFonts w:ascii="Times New Roman" w:hAnsi="Times New Roman"/>
          <w:i/>
          <w:sz w:val="20"/>
          <w:szCs w:val="20"/>
          <w:lang w:val="fr-FR"/>
        </w:rPr>
        <w:t xml:space="preserve"> v. </w:t>
      </w:r>
      <w:proofErr w:type="spellStart"/>
      <w:r w:rsidRPr="00645037">
        <w:rPr>
          <w:rFonts w:ascii="Times New Roman" w:hAnsi="Times New Roman"/>
          <w:i/>
          <w:sz w:val="20"/>
          <w:szCs w:val="20"/>
          <w:lang w:val="fr-FR"/>
        </w:rPr>
        <w:t>Bashir</w:t>
      </w:r>
      <w:proofErr w:type="spellEnd"/>
      <w:r w:rsidRPr="00645037">
        <w:rPr>
          <w:rFonts w:ascii="Times New Roman" w:hAnsi="Times New Roman"/>
          <w:i/>
          <w:sz w:val="20"/>
          <w:szCs w:val="20"/>
          <w:lang w:val="fr-FR"/>
        </w:rPr>
        <w:t xml:space="preserve"> </w:t>
      </w:r>
      <w:r w:rsidRPr="00645037">
        <w:rPr>
          <w:rFonts w:ascii="Times New Roman" w:hAnsi="Times New Roman"/>
          <w:sz w:val="20"/>
          <w:szCs w:val="20"/>
          <w:lang w:val="fr-FR"/>
        </w:rPr>
        <w:t>(</w:t>
      </w:r>
      <w:r w:rsidRPr="00645037">
        <w:rPr>
          <w:rFonts w:ascii="Times New Roman" w:hAnsi="Times New Roman"/>
          <w:sz w:val="20"/>
          <w:szCs w:val="20"/>
          <w:lang w:val="en-US"/>
        </w:rPr>
        <w:t>ICC-02/05-01/09), Decision on the Prosecution's Application for a Warrant of Arrest against Omar Hassan Ahmad Al Bashir, 4 March 2009, para. 113.</w:t>
      </w:r>
    </w:p>
  </w:footnote>
  <w:footnote w:id="44">
    <w:p w14:paraId="577411F5"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See, e.g., </w:t>
      </w:r>
      <w:r w:rsidRPr="00645037">
        <w:rPr>
          <w:rFonts w:ascii="Times New Roman" w:hAnsi="Times New Roman"/>
          <w:bCs/>
          <w:sz w:val="20"/>
          <w:szCs w:val="20"/>
          <w:lang w:val="en-US"/>
        </w:rPr>
        <w:t>PCNICC/1999/L.5/Rev.1/Add.2, pp. 5-7, issued</w:t>
      </w:r>
      <w:r w:rsidRPr="00645037">
        <w:rPr>
          <w:rFonts w:ascii="Times New Roman" w:hAnsi="Times New Roman"/>
          <w:sz w:val="20"/>
          <w:szCs w:val="20"/>
          <w:lang w:val="en-US"/>
        </w:rPr>
        <w:t xml:space="preserve"> 22 December 1999. The initial proposal for the Elements of Crimes, submitted by the United States, borrowed the ‘widespread or systematic’ language from the Rome Statute’s definition of crimes against humanity: </w:t>
      </w:r>
      <w:r w:rsidRPr="00645037">
        <w:rPr>
          <w:rFonts w:ascii="Times New Roman" w:hAnsi="Times New Roman"/>
          <w:sz w:val="20"/>
          <w:szCs w:val="20"/>
        </w:rPr>
        <w:t>Proposal Submitted by the United States of America, Draft elements of crimes, PCNICC/1999/DP.4.</w:t>
      </w:r>
    </w:p>
  </w:footnote>
  <w:footnote w:id="45">
    <w:p w14:paraId="1AE1BAD9"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gramStart"/>
      <w:r w:rsidRPr="00645037">
        <w:rPr>
          <w:rFonts w:ascii="Times New Roman" w:hAnsi="Times New Roman"/>
          <w:sz w:val="20"/>
          <w:szCs w:val="20"/>
          <w:lang w:val="en-US"/>
        </w:rPr>
        <w:t>PCNICC/2000/L.1/Rev.1/Add.2, pp. 6-8 (issued 7 April 2000).</w:t>
      </w:r>
      <w:proofErr w:type="gramEnd"/>
    </w:p>
  </w:footnote>
  <w:footnote w:id="46">
    <w:p w14:paraId="60C9DE50" w14:textId="6101B4EC"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 xml:space="preserve">Prosecutor v. </w:t>
      </w:r>
      <w:proofErr w:type="spellStart"/>
      <w:r w:rsidRPr="00645037">
        <w:rPr>
          <w:rStyle w:val="x-italic"/>
          <w:rFonts w:ascii="Times New Roman" w:hAnsi="Times New Roman"/>
          <w:iCs/>
          <w:sz w:val="20"/>
          <w:szCs w:val="20"/>
        </w:rPr>
        <w:t>Jelisić</w:t>
      </w:r>
      <w:proofErr w:type="spellEnd"/>
      <w:r w:rsidRPr="00645037">
        <w:rPr>
          <w:rFonts w:ascii="Times New Roman" w:hAnsi="Times New Roman"/>
          <w:sz w:val="20"/>
          <w:szCs w:val="20"/>
        </w:rPr>
        <w:t xml:space="preserve"> (IT-95-10-T), Judgment, 14 December 1999.</w:t>
      </w:r>
    </w:p>
  </w:footnote>
  <w:footnote w:id="47">
    <w:p w14:paraId="3B6287D7" w14:textId="77777777" w:rsidR="00D10D54" w:rsidRPr="00645037" w:rsidRDefault="00D10D54" w:rsidP="00645037">
      <w:pPr>
        <w:pStyle w:val="footnote"/>
        <w:ind w:left="0" w:firstLine="0"/>
        <w:rPr>
          <w:szCs w:val="20"/>
        </w:rPr>
      </w:pPr>
      <w:r w:rsidRPr="00645037">
        <w:rPr>
          <w:rStyle w:val="FootnoteReference"/>
          <w:szCs w:val="20"/>
        </w:rPr>
        <w:footnoteRef/>
      </w:r>
      <w:r w:rsidRPr="00645037">
        <w:rPr>
          <w:szCs w:val="20"/>
        </w:rPr>
        <w:t xml:space="preserve"> </w:t>
      </w:r>
      <w:r w:rsidRPr="00645037">
        <w:rPr>
          <w:i/>
          <w:szCs w:val="20"/>
        </w:rPr>
        <w:t xml:space="preserve">Prosecutor v. </w:t>
      </w:r>
      <w:r w:rsidRPr="00645037">
        <w:rPr>
          <w:rStyle w:val="x-italic"/>
          <w:iCs/>
          <w:szCs w:val="20"/>
        </w:rPr>
        <w:t xml:space="preserve">Bashir </w:t>
      </w:r>
      <w:r w:rsidRPr="00645037">
        <w:rPr>
          <w:szCs w:val="20"/>
        </w:rPr>
        <w:t>(ICC-02/05-01/09), Decision on the Prosecution’s Application for a Warrant of Arrest against Omar Hassan Ahmad Al Bashir, 4 March 2009</w:t>
      </w:r>
      <w:r w:rsidRPr="00645037">
        <w:rPr>
          <w:szCs w:val="20"/>
          <w:lang w:val="fr-FR"/>
        </w:rPr>
        <w:t xml:space="preserve">, </w:t>
      </w:r>
      <w:r w:rsidRPr="00645037">
        <w:rPr>
          <w:szCs w:val="20"/>
        </w:rPr>
        <w:t>para. 117.</w:t>
      </w:r>
    </w:p>
  </w:footnote>
  <w:footnote w:id="48">
    <w:p w14:paraId="4E0228B5" w14:textId="34B6B9C6" w:rsidR="00D10D54" w:rsidRPr="00645037" w:rsidRDefault="00D10D54" w:rsidP="00645037">
      <w:pPr>
        <w:pStyle w:val="footnote"/>
        <w:ind w:left="0" w:firstLine="0"/>
        <w:rPr>
          <w:szCs w:val="20"/>
        </w:rPr>
      </w:pPr>
      <w:r w:rsidRPr="00645037">
        <w:rPr>
          <w:rStyle w:val="FootnoteReference"/>
          <w:szCs w:val="20"/>
        </w:rPr>
        <w:footnoteRef/>
      </w:r>
      <w:r w:rsidRPr="00645037">
        <w:rPr>
          <w:szCs w:val="20"/>
        </w:rPr>
        <w:t xml:space="preserve"> </w:t>
      </w:r>
      <w:r w:rsidRPr="00645037">
        <w:rPr>
          <w:i/>
          <w:szCs w:val="20"/>
        </w:rPr>
        <w:t>Ibid</w:t>
      </w:r>
      <w:proofErr w:type="gramStart"/>
      <w:r w:rsidRPr="00645037">
        <w:rPr>
          <w:i/>
          <w:szCs w:val="20"/>
        </w:rPr>
        <w:t>.</w:t>
      </w:r>
      <w:r w:rsidRPr="00645037">
        <w:rPr>
          <w:szCs w:val="20"/>
          <w:lang w:val="fr-FR"/>
        </w:rPr>
        <w:t>,</w:t>
      </w:r>
      <w:proofErr w:type="gramEnd"/>
      <w:r w:rsidRPr="00645037">
        <w:rPr>
          <w:szCs w:val="20"/>
          <w:lang w:val="fr-FR"/>
        </w:rPr>
        <w:t xml:space="preserve"> </w:t>
      </w:r>
      <w:r w:rsidRPr="00645037">
        <w:rPr>
          <w:szCs w:val="20"/>
        </w:rPr>
        <w:t xml:space="preserve">para. 119, citing: </w:t>
      </w:r>
      <w:r w:rsidRPr="00645037">
        <w:rPr>
          <w:i/>
          <w:szCs w:val="20"/>
        </w:rPr>
        <w:t xml:space="preserve">Prosecutor v. </w:t>
      </w:r>
      <w:proofErr w:type="spellStart"/>
      <w:r w:rsidRPr="00645037">
        <w:rPr>
          <w:rStyle w:val="x-italic"/>
          <w:iCs/>
          <w:szCs w:val="20"/>
        </w:rPr>
        <w:t>Jelisić</w:t>
      </w:r>
      <w:proofErr w:type="spellEnd"/>
      <w:r w:rsidRPr="00645037">
        <w:rPr>
          <w:szCs w:val="20"/>
        </w:rPr>
        <w:t xml:space="preserve"> (IT-95-10-T), Judgment, 14 December 1999, para. </w:t>
      </w:r>
      <w:proofErr w:type="gramStart"/>
      <w:r w:rsidRPr="00645037">
        <w:rPr>
          <w:szCs w:val="20"/>
        </w:rPr>
        <w:t xml:space="preserve">400 (an error; the correct reference is to para. 100); </w:t>
      </w:r>
      <w:r w:rsidRPr="00645037">
        <w:rPr>
          <w:i/>
          <w:szCs w:val="20"/>
        </w:rPr>
        <w:t xml:space="preserve">Prosecutor v. </w:t>
      </w:r>
      <w:proofErr w:type="spellStart"/>
      <w:r w:rsidRPr="00645037">
        <w:rPr>
          <w:rStyle w:val="x-italic"/>
          <w:iCs/>
          <w:szCs w:val="20"/>
        </w:rPr>
        <w:t>Akayesu</w:t>
      </w:r>
      <w:proofErr w:type="spellEnd"/>
      <w:r w:rsidRPr="00645037">
        <w:rPr>
          <w:rStyle w:val="x-italic"/>
          <w:iCs/>
          <w:szCs w:val="20"/>
        </w:rPr>
        <w:t xml:space="preserve"> </w:t>
      </w:r>
      <w:r w:rsidRPr="00645037">
        <w:rPr>
          <w:szCs w:val="20"/>
        </w:rPr>
        <w:t xml:space="preserve">(ICTR-96-4-T), Judgment, 2 September 1998, </w:t>
      </w:r>
      <w:proofErr w:type="spellStart"/>
      <w:r w:rsidRPr="00645037">
        <w:rPr>
          <w:szCs w:val="20"/>
        </w:rPr>
        <w:t>paras</w:t>
      </w:r>
      <w:proofErr w:type="spellEnd"/>
      <w:r w:rsidRPr="00645037">
        <w:rPr>
          <w:szCs w:val="20"/>
        </w:rPr>
        <w:t>.</w:t>
      </w:r>
      <w:proofErr w:type="gramEnd"/>
      <w:r w:rsidRPr="00645037">
        <w:rPr>
          <w:szCs w:val="20"/>
        </w:rPr>
        <w:t xml:space="preserve"> </w:t>
      </w:r>
      <w:proofErr w:type="gramStart"/>
      <w:r w:rsidRPr="00645037">
        <w:rPr>
          <w:szCs w:val="20"/>
        </w:rPr>
        <w:t>520, 523.</w:t>
      </w:r>
      <w:proofErr w:type="gramEnd"/>
    </w:p>
  </w:footnote>
  <w:footnote w:id="49">
    <w:p w14:paraId="43E08D48" w14:textId="77777777" w:rsidR="00D10D54" w:rsidRPr="00645037" w:rsidRDefault="00D10D54" w:rsidP="00645037">
      <w:pPr>
        <w:pStyle w:val="footnote"/>
        <w:ind w:left="0" w:firstLine="0"/>
        <w:rPr>
          <w:szCs w:val="20"/>
        </w:rPr>
      </w:pPr>
      <w:r w:rsidRPr="00645037">
        <w:rPr>
          <w:rStyle w:val="FootnoteReference"/>
          <w:szCs w:val="20"/>
        </w:rPr>
        <w:footnoteRef/>
      </w:r>
      <w:r w:rsidRPr="00645037">
        <w:rPr>
          <w:szCs w:val="20"/>
        </w:rPr>
        <w:t xml:space="preserve"> </w:t>
      </w:r>
      <w:proofErr w:type="gramStart"/>
      <w:r w:rsidRPr="00645037">
        <w:rPr>
          <w:i/>
          <w:szCs w:val="20"/>
        </w:rPr>
        <w:t xml:space="preserve">Prosecutor v. </w:t>
      </w:r>
      <w:proofErr w:type="spellStart"/>
      <w:r w:rsidRPr="00645037">
        <w:rPr>
          <w:rStyle w:val="x-italic"/>
          <w:iCs/>
          <w:szCs w:val="20"/>
        </w:rPr>
        <w:t>Jelisić</w:t>
      </w:r>
      <w:proofErr w:type="spellEnd"/>
      <w:r w:rsidRPr="00645037">
        <w:rPr>
          <w:szCs w:val="20"/>
        </w:rPr>
        <w:t xml:space="preserve"> (IT-95-10-T), Judgment, 14 December 1999, para.</w:t>
      </w:r>
      <w:proofErr w:type="gramEnd"/>
      <w:r w:rsidRPr="00645037">
        <w:rPr>
          <w:szCs w:val="20"/>
        </w:rPr>
        <w:t xml:space="preserve"> 100; affirmed: </w:t>
      </w:r>
      <w:r w:rsidRPr="00645037">
        <w:rPr>
          <w:i/>
          <w:szCs w:val="20"/>
        </w:rPr>
        <w:t xml:space="preserve">Prosecutor v. </w:t>
      </w:r>
      <w:proofErr w:type="spellStart"/>
      <w:r w:rsidRPr="00645037">
        <w:rPr>
          <w:rStyle w:val="x-italic"/>
          <w:iCs/>
          <w:szCs w:val="20"/>
        </w:rPr>
        <w:t>Jelisić</w:t>
      </w:r>
      <w:proofErr w:type="spellEnd"/>
      <w:r w:rsidRPr="00645037">
        <w:rPr>
          <w:szCs w:val="20"/>
        </w:rPr>
        <w:t xml:space="preserve"> (IT-95-10-A), Judgment, </w:t>
      </w:r>
      <w:proofErr w:type="gramStart"/>
      <w:r w:rsidRPr="00645037">
        <w:rPr>
          <w:szCs w:val="20"/>
        </w:rPr>
        <w:t>5</w:t>
      </w:r>
      <w:proofErr w:type="gramEnd"/>
      <w:r w:rsidRPr="00645037">
        <w:rPr>
          <w:szCs w:val="20"/>
        </w:rPr>
        <w:t xml:space="preserve"> July 2001.</w:t>
      </w:r>
    </w:p>
  </w:footnote>
  <w:footnote w:id="50">
    <w:p w14:paraId="1898E1B8" w14:textId="77777777" w:rsidR="00D10D54" w:rsidRPr="00645037" w:rsidRDefault="00D10D54" w:rsidP="00645037">
      <w:pPr>
        <w:pStyle w:val="footnote"/>
        <w:ind w:left="0" w:firstLine="0"/>
        <w:rPr>
          <w:szCs w:val="20"/>
        </w:rPr>
      </w:pPr>
      <w:r w:rsidRPr="00645037">
        <w:rPr>
          <w:rStyle w:val="FootnoteReference"/>
          <w:szCs w:val="20"/>
        </w:rPr>
        <w:footnoteRef/>
      </w:r>
      <w:r w:rsidRPr="00645037">
        <w:rPr>
          <w:szCs w:val="20"/>
        </w:rPr>
        <w:t xml:space="preserve"> </w:t>
      </w:r>
      <w:r w:rsidRPr="00645037">
        <w:rPr>
          <w:i/>
          <w:szCs w:val="20"/>
        </w:rPr>
        <w:t xml:space="preserve">Prosecutor v. </w:t>
      </w:r>
      <w:r w:rsidRPr="00645037">
        <w:rPr>
          <w:rStyle w:val="x-italic"/>
          <w:iCs/>
          <w:szCs w:val="20"/>
        </w:rPr>
        <w:t xml:space="preserve">Bashir </w:t>
      </w:r>
      <w:r w:rsidRPr="00645037">
        <w:rPr>
          <w:szCs w:val="20"/>
        </w:rPr>
        <w:t>(ICC-02/05-01/09), Decision on the Prosecution’s Application for a Warrant of Arrest against Omar Hassan Ahmad Al Bashir, 4 March 2009</w:t>
      </w:r>
      <w:r w:rsidRPr="00645037">
        <w:rPr>
          <w:szCs w:val="20"/>
          <w:lang w:val="fr-FR"/>
        </w:rPr>
        <w:t xml:space="preserve">, </w:t>
      </w:r>
      <w:r w:rsidRPr="00645037">
        <w:rPr>
          <w:szCs w:val="20"/>
        </w:rPr>
        <w:t xml:space="preserve">para. </w:t>
      </w:r>
      <w:proofErr w:type="gramStart"/>
      <w:r w:rsidRPr="00645037">
        <w:rPr>
          <w:szCs w:val="20"/>
        </w:rPr>
        <w:t>119 (references omitted).</w:t>
      </w:r>
      <w:proofErr w:type="gramEnd"/>
      <w:r w:rsidRPr="00645037">
        <w:rPr>
          <w:szCs w:val="20"/>
        </w:rPr>
        <w:t xml:space="preserve"> </w:t>
      </w:r>
      <w:r w:rsidRPr="00645037">
        <w:rPr>
          <w:rStyle w:val="x-italic"/>
          <w:iCs/>
          <w:szCs w:val="20"/>
        </w:rPr>
        <w:t>Contra</w:t>
      </w:r>
      <w:r w:rsidRPr="00645037">
        <w:rPr>
          <w:szCs w:val="20"/>
        </w:rPr>
        <w:t xml:space="preserve">: </w:t>
      </w:r>
      <w:r w:rsidRPr="00645037">
        <w:rPr>
          <w:rStyle w:val="x-italic"/>
          <w:iCs/>
          <w:szCs w:val="20"/>
        </w:rPr>
        <w:t xml:space="preserve">Bashir </w:t>
      </w:r>
      <w:r w:rsidRPr="00645037">
        <w:rPr>
          <w:szCs w:val="20"/>
        </w:rPr>
        <w:t xml:space="preserve">(ICC-02/05-01/09), Separate and Partly Dissenting Opinion of Judge Anita </w:t>
      </w:r>
      <w:proofErr w:type="spellStart"/>
      <w:r w:rsidRPr="00645037">
        <w:rPr>
          <w:szCs w:val="20"/>
        </w:rPr>
        <w:t>Ušacka</w:t>
      </w:r>
      <w:proofErr w:type="spellEnd"/>
      <w:r w:rsidRPr="00645037">
        <w:rPr>
          <w:szCs w:val="20"/>
        </w:rPr>
        <w:t xml:space="preserve">, 4 March 2009, para. </w:t>
      </w:r>
      <w:proofErr w:type="gramStart"/>
      <w:r w:rsidRPr="00645037">
        <w:rPr>
          <w:szCs w:val="20"/>
        </w:rPr>
        <w:t>19, fn. 26.</w:t>
      </w:r>
      <w:proofErr w:type="gramEnd"/>
    </w:p>
  </w:footnote>
  <w:footnote w:id="51">
    <w:p w14:paraId="3C180C29" w14:textId="42E66E17" w:rsidR="00D10D54" w:rsidRPr="00645037" w:rsidRDefault="00D10D54" w:rsidP="00645037">
      <w:pPr>
        <w:pStyle w:val="footnote"/>
        <w:ind w:left="0" w:firstLine="0"/>
        <w:rPr>
          <w:szCs w:val="20"/>
        </w:rPr>
      </w:pPr>
      <w:r w:rsidRPr="00645037">
        <w:rPr>
          <w:rStyle w:val="FootnoteReference"/>
          <w:szCs w:val="20"/>
        </w:rPr>
        <w:footnoteRef/>
      </w:r>
      <w:r w:rsidRPr="00645037">
        <w:rPr>
          <w:szCs w:val="20"/>
        </w:rPr>
        <w:t xml:space="preserve"> </w:t>
      </w:r>
      <w:r w:rsidRPr="00645037">
        <w:rPr>
          <w:i/>
          <w:szCs w:val="20"/>
        </w:rPr>
        <w:t>Ibid</w:t>
      </w:r>
      <w:proofErr w:type="gramStart"/>
      <w:r w:rsidRPr="00645037">
        <w:rPr>
          <w:i/>
          <w:szCs w:val="20"/>
        </w:rPr>
        <w:t>.</w:t>
      </w:r>
      <w:r w:rsidRPr="00645037">
        <w:rPr>
          <w:szCs w:val="20"/>
          <w:lang w:val="fr-FR"/>
        </w:rPr>
        <w:t>,</w:t>
      </w:r>
      <w:proofErr w:type="gramEnd"/>
      <w:r w:rsidRPr="00645037">
        <w:rPr>
          <w:szCs w:val="20"/>
          <w:lang w:val="fr-FR"/>
        </w:rPr>
        <w:t xml:space="preserve"> </w:t>
      </w:r>
      <w:r w:rsidRPr="00645037">
        <w:rPr>
          <w:szCs w:val="20"/>
        </w:rPr>
        <w:t xml:space="preserve">para. 120. </w:t>
      </w:r>
    </w:p>
  </w:footnote>
  <w:footnote w:id="52">
    <w:p w14:paraId="01976334" w14:textId="0054FA2D" w:rsidR="00D10D54" w:rsidRPr="00645037" w:rsidRDefault="00D10D54" w:rsidP="00645037">
      <w:pPr>
        <w:pStyle w:val="footnote"/>
        <w:ind w:left="0" w:firstLine="0"/>
        <w:rPr>
          <w:szCs w:val="20"/>
        </w:rPr>
      </w:pPr>
      <w:r w:rsidRPr="00645037">
        <w:rPr>
          <w:rStyle w:val="FootnoteReference"/>
          <w:szCs w:val="20"/>
        </w:rPr>
        <w:footnoteRef/>
      </w:r>
      <w:r w:rsidRPr="00645037">
        <w:rPr>
          <w:szCs w:val="20"/>
        </w:rPr>
        <w:t xml:space="preserve"> </w:t>
      </w:r>
      <w:r w:rsidRPr="00645037">
        <w:rPr>
          <w:i/>
          <w:szCs w:val="20"/>
        </w:rPr>
        <w:t>Ibid</w:t>
      </w:r>
      <w:proofErr w:type="gramStart"/>
      <w:r w:rsidRPr="00645037">
        <w:rPr>
          <w:i/>
          <w:szCs w:val="20"/>
        </w:rPr>
        <w:t>.</w:t>
      </w:r>
      <w:r w:rsidRPr="00645037">
        <w:rPr>
          <w:szCs w:val="20"/>
          <w:lang w:val="fr-FR"/>
        </w:rPr>
        <w:t>,</w:t>
      </w:r>
      <w:proofErr w:type="gramEnd"/>
      <w:r w:rsidRPr="00645037">
        <w:rPr>
          <w:szCs w:val="20"/>
          <w:lang w:val="fr-FR"/>
        </w:rPr>
        <w:t xml:space="preserve"> </w:t>
      </w:r>
      <w:r w:rsidRPr="00645037">
        <w:rPr>
          <w:szCs w:val="20"/>
        </w:rPr>
        <w:t>para. 125.</w:t>
      </w:r>
    </w:p>
  </w:footnote>
  <w:footnote w:id="53">
    <w:p w14:paraId="27C5815B" w14:textId="57C8B8C9" w:rsidR="00D10D54" w:rsidRPr="00645037" w:rsidRDefault="00D10D54" w:rsidP="00645037">
      <w:pPr>
        <w:pStyle w:val="footnote"/>
        <w:ind w:left="0" w:firstLine="0"/>
        <w:rPr>
          <w:szCs w:val="20"/>
        </w:rPr>
      </w:pPr>
      <w:r w:rsidRPr="00645037">
        <w:rPr>
          <w:rStyle w:val="FootnoteReference"/>
          <w:szCs w:val="20"/>
        </w:rPr>
        <w:footnoteRef/>
      </w:r>
      <w:r w:rsidRPr="00645037">
        <w:rPr>
          <w:szCs w:val="20"/>
        </w:rPr>
        <w:t xml:space="preserve"> </w:t>
      </w:r>
      <w:r w:rsidRPr="00645037">
        <w:rPr>
          <w:i/>
          <w:szCs w:val="20"/>
        </w:rPr>
        <w:t>Ibid</w:t>
      </w:r>
      <w:proofErr w:type="gramStart"/>
      <w:r w:rsidRPr="00645037">
        <w:rPr>
          <w:i/>
          <w:szCs w:val="20"/>
        </w:rPr>
        <w:t>.</w:t>
      </w:r>
      <w:r w:rsidRPr="00645037">
        <w:rPr>
          <w:szCs w:val="20"/>
          <w:lang w:val="fr-FR"/>
        </w:rPr>
        <w:t>,</w:t>
      </w:r>
      <w:proofErr w:type="gramEnd"/>
      <w:r w:rsidRPr="00645037">
        <w:rPr>
          <w:szCs w:val="20"/>
          <w:lang w:val="fr-FR"/>
        </w:rPr>
        <w:t xml:space="preserve"> </w:t>
      </w:r>
      <w:r w:rsidRPr="00645037">
        <w:rPr>
          <w:szCs w:val="20"/>
        </w:rPr>
        <w:t>para. 124.</w:t>
      </w:r>
    </w:p>
  </w:footnote>
  <w:footnote w:id="54">
    <w:p w14:paraId="5F005421" w14:textId="77777777" w:rsidR="00D10D54" w:rsidRPr="00645037" w:rsidRDefault="00D10D54" w:rsidP="00645037">
      <w:pPr>
        <w:pStyle w:val="footnote"/>
        <w:ind w:left="0" w:firstLine="0"/>
        <w:rPr>
          <w:szCs w:val="20"/>
        </w:rPr>
      </w:pPr>
      <w:r w:rsidRPr="00645037">
        <w:rPr>
          <w:rStyle w:val="FootnoteReference"/>
          <w:szCs w:val="20"/>
        </w:rPr>
        <w:footnoteRef/>
      </w:r>
      <w:r w:rsidRPr="00645037">
        <w:rPr>
          <w:szCs w:val="20"/>
        </w:rPr>
        <w:t xml:space="preserve"> </w:t>
      </w:r>
      <w:proofErr w:type="gramStart"/>
      <w:r w:rsidRPr="00645037">
        <w:rPr>
          <w:i/>
          <w:szCs w:val="20"/>
        </w:rPr>
        <w:t xml:space="preserve">Prosecutor v. </w:t>
      </w:r>
      <w:r w:rsidRPr="00645037">
        <w:rPr>
          <w:rStyle w:val="x-italic"/>
          <w:iCs/>
          <w:szCs w:val="20"/>
        </w:rPr>
        <w:t xml:space="preserve">Bashir </w:t>
      </w:r>
      <w:r w:rsidRPr="00645037">
        <w:rPr>
          <w:szCs w:val="20"/>
        </w:rPr>
        <w:t xml:space="preserve">(ICC-02/05-01/09), Separate and Partly Dissenting Opinion of Judge Anita </w:t>
      </w:r>
      <w:proofErr w:type="spellStart"/>
      <w:r w:rsidRPr="00645037">
        <w:rPr>
          <w:szCs w:val="20"/>
        </w:rPr>
        <w:t>Ušacka</w:t>
      </w:r>
      <w:proofErr w:type="spellEnd"/>
      <w:r w:rsidRPr="00645037">
        <w:rPr>
          <w:szCs w:val="20"/>
        </w:rPr>
        <w:t>, 4 March 2009, para.</w:t>
      </w:r>
      <w:proofErr w:type="gramEnd"/>
      <w:r w:rsidRPr="00645037">
        <w:rPr>
          <w:szCs w:val="20"/>
        </w:rPr>
        <w:t xml:space="preserve"> 20.</w:t>
      </w:r>
    </w:p>
  </w:footnote>
  <w:footnote w:id="55">
    <w:p w14:paraId="2AA853B0" w14:textId="77777777" w:rsidR="00D10D54" w:rsidRPr="00645037" w:rsidRDefault="00D10D54" w:rsidP="00645037">
      <w:pPr>
        <w:pStyle w:val="footnote"/>
        <w:ind w:left="0" w:firstLine="0"/>
        <w:rPr>
          <w:szCs w:val="20"/>
        </w:rPr>
      </w:pPr>
      <w:r w:rsidRPr="00645037">
        <w:rPr>
          <w:rStyle w:val="FootnoteReference"/>
          <w:szCs w:val="20"/>
        </w:rPr>
        <w:footnoteRef/>
      </w:r>
      <w:r w:rsidRPr="00645037">
        <w:rPr>
          <w:szCs w:val="20"/>
        </w:rPr>
        <w:t xml:space="preserve"> </w:t>
      </w:r>
      <w:r w:rsidRPr="00645037">
        <w:rPr>
          <w:i/>
          <w:szCs w:val="20"/>
        </w:rPr>
        <w:t xml:space="preserve">Prosecutor v. </w:t>
      </w:r>
      <w:r w:rsidRPr="00645037">
        <w:rPr>
          <w:rStyle w:val="x-italic"/>
          <w:iCs/>
          <w:szCs w:val="20"/>
        </w:rPr>
        <w:t xml:space="preserve">Bashir </w:t>
      </w:r>
      <w:r w:rsidRPr="00645037">
        <w:rPr>
          <w:szCs w:val="20"/>
        </w:rPr>
        <w:t>(ICC-02/05-01/09), Decision on the Prosecution’s Application for a Warrant of Arrest against Omar Hassan Ahmad Al Bashir, 4 March 2009, para. 132.</w:t>
      </w:r>
    </w:p>
  </w:footnote>
  <w:footnote w:id="56">
    <w:p w14:paraId="169F5311" w14:textId="34A249D9" w:rsidR="00D10D54" w:rsidRPr="00645037" w:rsidRDefault="00D10D54" w:rsidP="00645037">
      <w:pPr>
        <w:pStyle w:val="footnote"/>
        <w:ind w:left="0" w:firstLine="0"/>
        <w:rPr>
          <w:szCs w:val="20"/>
        </w:rPr>
      </w:pPr>
      <w:r w:rsidRPr="00645037">
        <w:rPr>
          <w:rStyle w:val="FootnoteReference"/>
          <w:szCs w:val="20"/>
        </w:rPr>
        <w:footnoteRef/>
      </w:r>
      <w:r w:rsidRPr="00645037">
        <w:rPr>
          <w:szCs w:val="20"/>
        </w:rPr>
        <w:t xml:space="preserve"> </w:t>
      </w:r>
      <w:r w:rsidRPr="00645037">
        <w:rPr>
          <w:i/>
          <w:szCs w:val="20"/>
        </w:rPr>
        <w:t>Ibid</w:t>
      </w:r>
      <w:proofErr w:type="gramStart"/>
      <w:r w:rsidRPr="00645037">
        <w:rPr>
          <w:i/>
          <w:szCs w:val="20"/>
        </w:rPr>
        <w:t>.</w:t>
      </w:r>
      <w:r w:rsidRPr="00645037">
        <w:rPr>
          <w:szCs w:val="20"/>
          <w:lang w:val="fr-FR"/>
        </w:rPr>
        <w:t>,</w:t>
      </w:r>
      <w:proofErr w:type="gramEnd"/>
      <w:r w:rsidRPr="00645037">
        <w:rPr>
          <w:szCs w:val="20"/>
          <w:lang w:val="fr-FR"/>
        </w:rPr>
        <w:t xml:space="preserve"> </w:t>
      </w:r>
      <w:r w:rsidRPr="00645037">
        <w:rPr>
          <w:szCs w:val="20"/>
        </w:rPr>
        <w:t>para. 133.</w:t>
      </w:r>
    </w:p>
  </w:footnote>
  <w:footnote w:id="57">
    <w:p w14:paraId="79427BA1" w14:textId="77777777" w:rsidR="00D10D54" w:rsidRPr="00645037" w:rsidRDefault="00D10D54" w:rsidP="00645037">
      <w:pPr>
        <w:pStyle w:val="footnote"/>
        <w:ind w:left="0" w:firstLine="0"/>
        <w:rPr>
          <w:szCs w:val="20"/>
        </w:rPr>
      </w:pPr>
      <w:r w:rsidRPr="00645037">
        <w:rPr>
          <w:rStyle w:val="FootnoteReference"/>
          <w:szCs w:val="20"/>
        </w:rPr>
        <w:footnoteRef/>
      </w:r>
      <w:r w:rsidRPr="00645037">
        <w:rPr>
          <w:szCs w:val="20"/>
        </w:rPr>
        <w:t xml:space="preserve"> UN Doc. </w:t>
      </w:r>
      <w:proofErr w:type="gramStart"/>
      <w:r w:rsidRPr="00645037">
        <w:rPr>
          <w:szCs w:val="20"/>
        </w:rPr>
        <w:t>A/CONF.183/C.1/SR.3, para.</w:t>
      </w:r>
      <w:proofErr w:type="gramEnd"/>
      <w:r w:rsidRPr="00645037">
        <w:rPr>
          <w:szCs w:val="20"/>
        </w:rPr>
        <w:t xml:space="preserve"> 100.</w:t>
      </w:r>
    </w:p>
  </w:footnote>
  <w:footnote w:id="58">
    <w:p w14:paraId="068DC222"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sz w:val="20"/>
          <w:szCs w:val="20"/>
          <w:lang w:val="en-US"/>
        </w:rPr>
        <w:t xml:space="preserve">See particularly the debates at UN Doc. </w:t>
      </w:r>
      <w:proofErr w:type="gramStart"/>
      <w:r w:rsidRPr="00645037">
        <w:rPr>
          <w:rFonts w:ascii="Times New Roman" w:hAnsi="Times New Roman"/>
          <w:sz w:val="20"/>
          <w:szCs w:val="20"/>
          <w:lang w:val="en-US"/>
        </w:rPr>
        <w:t xml:space="preserve">A/CONF.183/C.1/SR.3, </w:t>
      </w:r>
      <w:proofErr w:type="spellStart"/>
      <w:r w:rsidRPr="00645037">
        <w:rPr>
          <w:rFonts w:ascii="Times New Roman" w:hAnsi="Times New Roman"/>
          <w:sz w:val="20"/>
          <w:szCs w:val="20"/>
          <w:lang w:val="en-US"/>
        </w:rPr>
        <w:t>paras</w:t>
      </w:r>
      <w:proofErr w:type="spellEnd"/>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20-179.</w:t>
      </w:r>
    </w:p>
  </w:footnote>
  <w:footnote w:id="59">
    <w:p w14:paraId="075D4289" w14:textId="77777777" w:rsidR="00D10D54" w:rsidRPr="00645037" w:rsidRDefault="00D10D54" w:rsidP="00645037">
      <w:pPr>
        <w:widowControl w:val="0"/>
        <w:autoSpaceDE w:val="0"/>
        <w:autoSpaceDN w:val="0"/>
        <w:adjustRightInd w:val="0"/>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 xml:space="preserve">Prosecutor v. </w:t>
      </w:r>
      <w:r w:rsidRPr="00645037">
        <w:rPr>
          <w:rStyle w:val="x-italic"/>
          <w:rFonts w:ascii="Times New Roman" w:hAnsi="Times New Roman"/>
          <w:iCs/>
          <w:sz w:val="20"/>
          <w:szCs w:val="20"/>
        </w:rPr>
        <w:t xml:space="preserve">Bashir </w:t>
      </w:r>
      <w:r w:rsidRPr="00645037">
        <w:rPr>
          <w:rFonts w:ascii="Times New Roman" w:hAnsi="Times New Roman"/>
          <w:sz w:val="20"/>
          <w:szCs w:val="20"/>
        </w:rPr>
        <w:t>(ICC-02/05-01/09), Decision on the Prosecution’s Application for a Warrant of Arrest against Omar Hassan Ahmad Al Bashir, 4 March 2009</w:t>
      </w:r>
      <w:r w:rsidRPr="00645037">
        <w:rPr>
          <w:rFonts w:ascii="Times New Roman" w:hAnsi="Times New Roman"/>
          <w:sz w:val="20"/>
          <w:szCs w:val="20"/>
          <w:lang w:val="fr-FR"/>
        </w:rPr>
        <w:t xml:space="preserve">, </w:t>
      </w:r>
      <w:r w:rsidRPr="00645037">
        <w:rPr>
          <w:rFonts w:ascii="Times New Roman" w:hAnsi="Times New Roman"/>
          <w:sz w:val="20"/>
          <w:szCs w:val="20"/>
        </w:rPr>
        <w:t xml:space="preserve">para. 139, fn. 154, referring to: Claus </w:t>
      </w:r>
      <w:proofErr w:type="spellStart"/>
      <w:r w:rsidRPr="00645037">
        <w:rPr>
          <w:rFonts w:ascii="Times New Roman" w:hAnsi="Times New Roman"/>
          <w:sz w:val="20"/>
          <w:szCs w:val="20"/>
          <w:lang w:val="en-US"/>
        </w:rPr>
        <w:t>Kre</w:t>
      </w:r>
      <w:proofErr w:type="spellEnd"/>
      <w:r w:rsidRPr="00645037">
        <w:rPr>
          <w:rFonts w:ascii="Times New Roman" w:hAnsi="Times New Roman"/>
          <w:sz w:val="20"/>
          <w:szCs w:val="20"/>
          <w:lang w:val="en-US"/>
        </w:rPr>
        <w:t xml:space="preserve">β, ‘The Darfur Report and Genocidal Intent’, (2005) 3 </w:t>
      </w:r>
      <w:r w:rsidRPr="00645037">
        <w:rPr>
          <w:rFonts w:ascii="Times New Roman" w:hAnsi="Times New Roman"/>
          <w:i/>
          <w:sz w:val="20"/>
          <w:szCs w:val="20"/>
          <w:lang w:val="en-US"/>
        </w:rPr>
        <w:t>Journal of International Criminal Justice</w:t>
      </w:r>
      <w:r w:rsidRPr="00645037">
        <w:rPr>
          <w:rFonts w:ascii="Times New Roman" w:hAnsi="Times New Roman"/>
          <w:sz w:val="20"/>
          <w:szCs w:val="20"/>
          <w:lang w:val="en-US"/>
        </w:rPr>
        <w:t xml:space="preserve"> 562, at pp. 565-572; William Schabas, </w:t>
      </w:r>
      <w:r w:rsidRPr="00645037">
        <w:rPr>
          <w:rFonts w:ascii="Times New Roman" w:hAnsi="Times New Roman"/>
          <w:i/>
          <w:sz w:val="20"/>
          <w:szCs w:val="20"/>
          <w:lang w:val="en-US"/>
        </w:rPr>
        <w:t>Genocide in International Law, The Crime of Crimes</w:t>
      </w:r>
      <w:r w:rsidRPr="00645037">
        <w:rPr>
          <w:rFonts w:ascii="Times New Roman" w:hAnsi="Times New Roman"/>
          <w:sz w:val="20"/>
          <w:szCs w:val="20"/>
          <w:lang w:val="en-US"/>
        </w:rPr>
        <w:t>, 2nd ed., Cambridge: Cambridge University Press, 2009, pp. 241-264</w:t>
      </w:r>
      <w:r w:rsidRPr="00645037">
        <w:rPr>
          <w:rFonts w:ascii="Times New Roman" w:hAnsi="Times New Roman"/>
          <w:sz w:val="20"/>
          <w:szCs w:val="20"/>
        </w:rPr>
        <w:t>.</w:t>
      </w:r>
    </w:p>
  </w:footnote>
  <w:footnote w:id="60">
    <w:p w14:paraId="1FCE2D61" w14:textId="052858B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 xml:space="preserve">Prosecutor v. </w:t>
      </w:r>
      <w:proofErr w:type="spellStart"/>
      <w:r w:rsidRPr="00645037">
        <w:rPr>
          <w:rFonts w:ascii="Times New Roman" w:hAnsi="Times New Roman"/>
          <w:i/>
          <w:sz w:val="20"/>
          <w:szCs w:val="20"/>
          <w:lang w:val="fr-FR"/>
        </w:rPr>
        <w:t>Popovi</w:t>
      </w:r>
      <w:proofErr w:type="spellEnd"/>
      <w:r w:rsidRPr="00645037">
        <w:rPr>
          <w:rFonts w:ascii="Times New Roman" w:hAnsi="Times New Roman"/>
          <w:i/>
          <w:sz w:val="20"/>
          <w:szCs w:val="20"/>
          <w:lang w:val="en-US"/>
        </w:rPr>
        <w:t>ć</w:t>
      </w:r>
      <w:r w:rsidRPr="00645037">
        <w:rPr>
          <w:rFonts w:ascii="Times New Roman" w:hAnsi="Times New Roman"/>
          <w:i/>
          <w:sz w:val="20"/>
          <w:szCs w:val="20"/>
          <w:lang w:val="fr-FR"/>
        </w:rPr>
        <w:t xml:space="preserve"> et al.</w:t>
      </w:r>
      <w:r w:rsidRPr="00645037">
        <w:rPr>
          <w:rFonts w:ascii="Times New Roman" w:hAnsi="Times New Roman"/>
          <w:sz w:val="20"/>
          <w:szCs w:val="20"/>
          <w:lang w:val="fr-FR"/>
        </w:rPr>
        <w:t xml:space="preserve"> (</w:t>
      </w:r>
      <w:r w:rsidRPr="00645037">
        <w:rPr>
          <w:rFonts w:ascii="Times New Roman" w:hAnsi="Times New Roman"/>
          <w:sz w:val="20"/>
          <w:szCs w:val="20"/>
          <w:lang w:val="en-US"/>
        </w:rPr>
        <w:t xml:space="preserve">IT-05-88-T), Judgment, 10 June 2010, para. </w:t>
      </w:r>
      <w:proofErr w:type="gramStart"/>
      <w:r w:rsidRPr="00645037">
        <w:rPr>
          <w:rFonts w:ascii="Times New Roman" w:hAnsi="Times New Roman"/>
          <w:sz w:val="20"/>
          <w:szCs w:val="20"/>
          <w:lang w:val="en-US"/>
        </w:rPr>
        <w:t xml:space="preserve">807, </w:t>
      </w:r>
      <w:proofErr w:type="spellStart"/>
      <w:r w:rsidRPr="00645037">
        <w:rPr>
          <w:rFonts w:ascii="Times New Roman" w:hAnsi="Times New Roman"/>
          <w:sz w:val="20"/>
          <w:szCs w:val="20"/>
          <w:lang w:val="en-US"/>
        </w:rPr>
        <w:t>fns</w:t>
      </w:r>
      <w:proofErr w:type="spellEnd"/>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2910 and 2911, para.</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808, fn. 2913, para.</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809, fn. 2916, para.</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812, fn. 2925, para.</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813, fn. 2926, para.</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814, fn. 2929, para.</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817, fn. 2934, para.</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819, fn. 2937, para.</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821, fn. 2940, para.</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 xml:space="preserve">822, </w:t>
      </w:r>
      <w:proofErr w:type="spellStart"/>
      <w:r w:rsidRPr="00645037">
        <w:rPr>
          <w:rFonts w:ascii="Times New Roman" w:hAnsi="Times New Roman"/>
          <w:sz w:val="20"/>
          <w:szCs w:val="20"/>
          <w:lang w:val="en-US"/>
        </w:rPr>
        <w:t>fns</w:t>
      </w:r>
      <w:proofErr w:type="spellEnd"/>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2943 and 2944, para.</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827, fn. 2958, para.</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831, fn. 2968.</w:t>
      </w:r>
      <w:proofErr w:type="gramEnd"/>
      <w:r w:rsidRPr="00645037">
        <w:rPr>
          <w:rFonts w:ascii="Times New Roman" w:hAnsi="Times New Roman"/>
          <w:sz w:val="20"/>
          <w:szCs w:val="20"/>
          <w:lang w:val="en-US"/>
        </w:rPr>
        <w:t xml:space="preserve">  </w:t>
      </w:r>
    </w:p>
  </w:footnote>
  <w:footnote w:id="61">
    <w:p w14:paraId="43AFB123" w14:textId="0B93FA41"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para. 811.</w:t>
      </w:r>
    </w:p>
  </w:footnote>
  <w:footnote w:id="62">
    <w:p w14:paraId="462B6FD2" w14:textId="5C2AE6CD"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para. 812.</w:t>
      </w:r>
    </w:p>
  </w:footnote>
  <w:footnote w:id="63">
    <w:p w14:paraId="0B6D988B" w14:textId="1C6F2294"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para. 813.</w:t>
      </w:r>
    </w:p>
  </w:footnote>
  <w:footnote w:id="64">
    <w:p w14:paraId="0681CA64" w14:textId="781EACB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para. 813, fn. 2926, citing </w:t>
      </w:r>
      <w:r w:rsidRPr="00645037">
        <w:rPr>
          <w:rFonts w:ascii="Times New Roman" w:hAnsi="Times New Roman"/>
          <w:i/>
          <w:iCs/>
          <w:sz w:val="20"/>
          <w:szCs w:val="20"/>
          <w:lang w:val="en-US"/>
        </w:rPr>
        <w:t xml:space="preserve">Application of the Convention on the Prevention and Punishment  of the Crime of Genocide (Bosnia and Herzegovina </w:t>
      </w:r>
      <w:r w:rsidRPr="00645037">
        <w:rPr>
          <w:rFonts w:ascii="Times New Roman" w:hAnsi="Times New Roman"/>
          <w:sz w:val="20"/>
          <w:szCs w:val="20"/>
          <w:lang w:val="en-US"/>
        </w:rPr>
        <w:t xml:space="preserve">v. </w:t>
      </w:r>
      <w:r w:rsidRPr="00645037">
        <w:rPr>
          <w:rFonts w:ascii="Times New Roman" w:hAnsi="Times New Roman"/>
          <w:i/>
          <w:iCs/>
          <w:sz w:val="20"/>
          <w:szCs w:val="20"/>
          <w:lang w:val="en-US"/>
        </w:rPr>
        <w:t>Serbia and Montenegro), Judgment</w:t>
      </w:r>
      <w:r w:rsidRPr="00645037">
        <w:rPr>
          <w:rFonts w:ascii="Times New Roman" w:hAnsi="Times New Roman"/>
          <w:iCs/>
          <w:sz w:val="20"/>
          <w:szCs w:val="20"/>
          <w:lang w:val="en-US"/>
        </w:rPr>
        <w:t xml:space="preserve">, </w:t>
      </w:r>
      <w:r w:rsidRPr="00645037">
        <w:rPr>
          <w:rFonts w:ascii="Times New Roman" w:hAnsi="Times New Roman"/>
          <w:i/>
          <w:iCs/>
          <w:sz w:val="20"/>
          <w:szCs w:val="20"/>
          <w:lang w:val="en-US"/>
        </w:rPr>
        <w:t>I.C.J. Reports 2007</w:t>
      </w:r>
      <w:r w:rsidRPr="00645037">
        <w:rPr>
          <w:rFonts w:ascii="Times New Roman" w:hAnsi="Times New Roman"/>
          <w:iCs/>
          <w:sz w:val="20"/>
          <w:szCs w:val="20"/>
          <w:lang w:val="en-US"/>
        </w:rPr>
        <w:t>,</w:t>
      </w:r>
      <w:r w:rsidRPr="00645037">
        <w:rPr>
          <w:rFonts w:ascii="Times New Roman" w:hAnsi="Times New Roman"/>
          <w:i/>
          <w:iCs/>
          <w:sz w:val="20"/>
          <w:szCs w:val="20"/>
          <w:lang w:val="en-US"/>
        </w:rPr>
        <w:t xml:space="preserve"> </w:t>
      </w:r>
      <w:r w:rsidRPr="00645037">
        <w:rPr>
          <w:rFonts w:ascii="Times New Roman" w:hAnsi="Times New Roman"/>
          <w:sz w:val="20"/>
          <w:szCs w:val="20"/>
          <w:lang w:val="en-US"/>
        </w:rPr>
        <w:t xml:space="preserve">p. 43, para. </w:t>
      </w:r>
      <w:proofErr w:type="gramStart"/>
      <w:r w:rsidRPr="00645037">
        <w:rPr>
          <w:rFonts w:ascii="Times New Roman" w:hAnsi="Times New Roman"/>
          <w:sz w:val="20"/>
          <w:szCs w:val="20"/>
          <w:lang w:val="en-US"/>
        </w:rPr>
        <w:t>190 (emphasis in the original).</w:t>
      </w:r>
      <w:proofErr w:type="gramEnd"/>
    </w:p>
  </w:footnote>
  <w:footnote w:id="65">
    <w:p w14:paraId="3C3E1327" w14:textId="40D87FF1"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w:t>
      </w:r>
      <w:r w:rsidRPr="00645037">
        <w:rPr>
          <w:rFonts w:ascii="Times New Roman" w:hAnsi="Times New Roman"/>
          <w:sz w:val="20"/>
          <w:szCs w:val="20"/>
          <w:lang w:val="fr-FR"/>
        </w:rPr>
        <w:t>para. 814.</w:t>
      </w:r>
    </w:p>
  </w:footnote>
  <w:footnote w:id="66">
    <w:p w14:paraId="34719B2E" w14:textId="3FFDEF22"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w:t>
      </w:r>
      <w:r w:rsidRPr="00645037">
        <w:rPr>
          <w:rFonts w:ascii="Times New Roman" w:hAnsi="Times New Roman"/>
          <w:sz w:val="20"/>
          <w:szCs w:val="20"/>
          <w:lang w:val="fr-FR"/>
        </w:rPr>
        <w:t xml:space="preserve">para. </w:t>
      </w:r>
      <w:r w:rsidRPr="00645037">
        <w:rPr>
          <w:rFonts w:ascii="Times New Roman" w:hAnsi="Times New Roman"/>
          <w:sz w:val="20"/>
          <w:szCs w:val="20"/>
          <w:lang w:val="en-US"/>
        </w:rPr>
        <w:t>819.</w:t>
      </w:r>
    </w:p>
  </w:footnote>
  <w:footnote w:id="67">
    <w:p w14:paraId="055B0FA7" w14:textId="20CC37D5"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w:t>
      </w:r>
      <w:r w:rsidRPr="00645037">
        <w:rPr>
          <w:rFonts w:ascii="Times New Roman" w:hAnsi="Times New Roman"/>
          <w:sz w:val="20"/>
          <w:szCs w:val="20"/>
          <w:lang w:val="fr-FR"/>
        </w:rPr>
        <w:t xml:space="preserve">para. </w:t>
      </w:r>
      <w:r w:rsidRPr="00645037">
        <w:rPr>
          <w:rFonts w:ascii="Times New Roman" w:hAnsi="Times New Roman"/>
          <w:sz w:val="20"/>
          <w:szCs w:val="20"/>
          <w:lang w:val="en-US"/>
        </w:rPr>
        <w:t xml:space="preserve">819, fn. 2937, citing </w:t>
      </w:r>
      <w:r w:rsidRPr="00645037">
        <w:rPr>
          <w:rFonts w:ascii="Times New Roman" w:hAnsi="Times New Roman"/>
          <w:i/>
          <w:iCs/>
          <w:sz w:val="20"/>
          <w:szCs w:val="20"/>
          <w:lang w:val="en-US"/>
        </w:rPr>
        <w:t xml:space="preserve">Application of the Convention on the Prevention and Punishment  of the Crime of Genocide (Bosnia and Herzegovina </w:t>
      </w:r>
      <w:r w:rsidRPr="00645037">
        <w:rPr>
          <w:rFonts w:ascii="Times New Roman" w:hAnsi="Times New Roman"/>
          <w:sz w:val="20"/>
          <w:szCs w:val="20"/>
          <w:lang w:val="en-US"/>
        </w:rPr>
        <w:t xml:space="preserve">v. </w:t>
      </w:r>
      <w:r w:rsidRPr="00645037">
        <w:rPr>
          <w:rFonts w:ascii="Times New Roman" w:hAnsi="Times New Roman"/>
          <w:i/>
          <w:iCs/>
          <w:sz w:val="20"/>
          <w:szCs w:val="20"/>
          <w:lang w:val="en-US"/>
        </w:rPr>
        <w:t xml:space="preserve">Serbia and Montenegro), Judgment, I.C.J. Reports 2007, </w:t>
      </w:r>
      <w:r w:rsidRPr="00645037">
        <w:rPr>
          <w:rFonts w:ascii="Times New Roman" w:hAnsi="Times New Roman"/>
          <w:sz w:val="20"/>
          <w:szCs w:val="20"/>
          <w:lang w:val="en-US"/>
        </w:rPr>
        <w:t>p. 43, para. 355.</w:t>
      </w:r>
    </w:p>
  </w:footnote>
  <w:footnote w:id="68">
    <w:p w14:paraId="11742847" w14:textId="53F8190E"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para. 829.</w:t>
      </w:r>
    </w:p>
  </w:footnote>
  <w:footnote w:id="69">
    <w:p w14:paraId="3039DE85" w14:textId="7471DC84"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r w:rsidRPr="00645037">
        <w:rPr>
          <w:rFonts w:ascii="Times New Roman" w:hAnsi="Times New Roman"/>
          <w:sz w:val="20"/>
          <w:szCs w:val="20"/>
          <w:lang w:val="en-US"/>
        </w:rPr>
        <w:t>.</w:t>
      </w:r>
    </w:p>
  </w:footnote>
  <w:footnote w:id="70">
    <w:p w14:paraId="371A6D08" w14:textId="7E1B7B06"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r w:rsidRPr="00645037">
        <w:rPr>
          <w:rFonts w:ascii="Times New Roman" w:hAnsi="Times New Roman"/>
          <w:sz w:val="20"/>
          <w:szCs w:val="20"/>
          <w:lang w:val="en-US"/>
        </w:rPr>
        <w:t>.</w:t>
      </w:r>
    </w:p>
  </w:footnote>
  <w:footnote w:id="71">
    <w:p w14:paraId="0BD5A826" w14:textId="1E5D6EB3"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r w:rsidRPr="00645037">
        <w:rPr>
          <w:rFonts w:ascii="Times New Roman" w:hAnsi="Times New Roman"/>
          <w:sz w:val="20"/>
          <w:szCs w:val="20"/>
          <w:lang w:val="en-US"/>
        </w:rPr>
        <w:t>.</w:t>
      </w:r>
    </w:p>
  </w:footnote>
  <w:footnote w:id="72">
    <w:p w14:paraId="1EA05DEC"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gramStart"/>
      <w:r w:rsidRPr="00645037">
        <w:rPr>
          <w:rFonts w:ascii="Times New Roman" w:hAnsi="Times New Roman"/>
          <w:i/>
          <w:sz w:val="20"/>
          <w:szCs w:val="20"/>
        </w:rPr>
        <w:t xml:space="preserve">Prosecutor v. </w:t>
      </w:r>
      <w:r w:rsidRPr="00645037">
        <w:rPr>
          <w:rFonts w:ascii="Times New Roman" w:hAnsi="Times New Roman"/>
          <w:i/>
          <w:sz w:val="20"/>
          <w:szCs w:val="20"/>
          <w:lang w:val="en-IE"/>
        </w:rPr>
        <w:t xml:space="preserve">Krstić </w:t>
      </w:r>
      <w:r w:rsidRPr="00645037">
        <w:rPr>
          <w:rFonts w:ascii="Times New Roman" w:hAnsi="Times New Roman"/>
          <w:sz w:val="20"/>
          <w:szCs w:val="20"/>
          <w:lang w:val="en-IE"/>
        </w:rPr>
        <w:t>(IT-98-33-A), Judgment, 19 April 2004, para.</w:t>
      </w:r>
      <w:proofErr w:type="gramEnd"/>
      <w:r w:rsidRPr="00645037">
        <w:rPr>
          <w:rFonts w:ascii="Times New Roman" w:hAnsi="Times New Roman"/>
          <w:sz w:val="20"/>
          <w:szCs w:val="20"/>
          <w:lang w:val="en-IE"/>
        </w:rPr>
        <w:t xml:space="preserve"> 224.</w:t>
      </w:r>
    </w:p>
  </w:footnote>
  <w:footnote w:id="73">
    <w:p w14:paraId="093FEF58"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 xml:space="preserve">Prosecutor v. </w:t>
      </w:r>
      <w:proofErr w:type="spellStart"/>
      <w:r w:rsidRPr="00645037">
        <w:rPr>
          <w:rFonts w:ascii="Times New Roman" w:hAnsi="Times New Roman"/>
          <w:i/>
          <w:sz w:val="20"/>
          <w:szCs w:val="20"/>
          <w:lang w:val="fr-FR"/>
        </w:rPr>
        <w:t>Popovi</w:t>
      </w:r>
      <w:proofErr w:type="spellEnd"/>
      <w:r w:rsidRPr="00645037">
        <w:rPr>
          <w:rFonts w:ascii="Times New Roman" w:hAnsi="Times New Roman"/>
          <w:i/>
          <w:sz w:val="20"/>
          <w:szCs w:val="20"/>
          <w:lang w:val="en-US"/>
        </w:rPr>
        <w:t>ć</w:t>
      </w:r>
      <w:r w:rsidRPr="00645037">
        <w:rPr>
          <w:rFonts w:ascii="Times New Roman" w:hAnsi="Times New Roman"/>
          <w:i/>
          <w:sz w:val="20"/>
          <w:szCs w:val="20"/>
          <w:lang w:val="fr-FR"/>
        </w:rPr>
        <w:t xml:space="preserve"> et al.</w:t>
      </w:r>
      <w:r w:rsidRPr="00645037">
        <w:rPr>
          <w:rFonts w:ascii="Times New Roman" w:hAnsi="Times New Roman"/>
          <w:sz w:val="20"/>
          <w:szCs w:val="20"/>
          <w:lang w:val="fr-FR"/>
        </w:rPr>
        <w:t xml:space="preserve"> (IT </w:t>
      </w:r>
      <w:r w:rsidRPr="00645037">
        <w:rPr>
          <w:rFonts w:ascii="Times New Roman" w:hAnsi="Times New Roman"/>
          <w:sz w:val="20"/>
          <w:szCs w:val="20"/>
          <w:lang w:val="en-US"/>
        </w:rPr>
        <w:t>IT-05-88-T), Judgment, 10 June 2010, para. 830.</w:t>
      </w:r>
    </w:p>
  </w:footnote>
  <w:footnote w:id="74">
    <w:p w14:paraId="7A541E89" w14:textId="253ACDF7" w:rsidR="00D10D54" w:rsidRPr="00645037" w:rsidRDefault="00D10D54" w:rsidP="00645037">
      <w:pPr>
        <w:widowControl w:val="0"/>
        <w:autoSpaceDE w:val="0"/>
        <w:autoSpaceDN w:val="0"/>
        <w:adjustRightInd w:val="0"/>
        <w:rPr>
          <w:rFonts w:ascii="Times New Roman" w:hAnsi="Times New Roman"/>
          <w:sz w:val="20"/>
          <w:szCs w:val="20"/>
          <w:lang w:val="en-US" w:eastAsia="bg-BG"/>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 xml:space="preserve">Prosecutor v. </w:t>
      </w:r>
      <w:proofErr w:type="spellStart"/>
      <w:r w:rsidRPr="00645037">
        <w:rPr>
          <w:rFonts w:ascii="Times New Roman" w:hAnsi="Times New Roman"/>
          <w:i/>
          <w:sz w:val="20"/>
          <w:szCs w:val="20"/>
          <w:lang w:val="en-US"/>
        </w:rPr>
        <w:t>Popović</w:t>
      </w:r>
      <w:proofErr w:type="spellEnd"/>
      <w:r w:rsidRPr="00645037">
        <w:rPr>
          <w:rFonts w:ascii="Times New Roman" w:hAnsi="Times New Roman"/>
          <w:i/>
          <w:sz w:val="20"/>
          <w:szCs w:val="20"/>
          <w:lang w:val="en-US"/>
        </w:rPr>
        <w:t xml:space="preserve"> </w:t>
      </w:r>
      <w:r w:rsidRPr="00645037">
        <w:rPr>
          <w:rFonts w:ascii="Times New Roman" w:hAnsi="Times New Roman"/>
          <w:sz w:val="20"/>
          <w:szCs w:val="20"/>
          <w:lang w:val="en-US"/>
        </w:rPr>
        <w:t>et al. (</w:t>
      </w:r>
      <w:r w:rsidRPr="00645037">
        <w:rPr>
          <w:rFonts w:ascii="Times New Roman" w:hAnsi="Times New Roman"/>
          <w:sz w:val="20"/>
          <w:szCs w:val="20"/>
          <w:lang w:val="en-US" w:eastAsia="bg-BG"/>
        </w:rPr>
        <w:t xml:space="preserve">IT-05-88-A ), Judgment, 30 January 2015, </w:t>
      </w:r>
      <w:proofErr w:type="spellStart"/>
      <w:r w:rsidRPr="00645037">
        <w:rPr>
          <w:rFonts w:ascii="Times New Roman" w:hAnsi="Times New Roman"/>
          <w:sz w:val="20"/>
          <w:szCs w:val="20"/>
          <w:lang w:val="en-US" w:eastAsia="bg-BG"/>
        </w:rPr>
        <w:t>paras</w:t>
      </w:r>
      <w:proofErr w:type="spellEnd"/>
      <w:r w:rsidRPr="00645037">
        <w:rPr>
          <w:rFonts w:ascii="Times New Roman" w:hAnsi="Times New Roman"/>
          <w:sz w:val="20"/>
          <w:szCs w:val="20"/>
          <w:lang w:val="en-US" w:eastAsia="bg-BG"/>
        </w:rPr>
        <w:t xml:space="preserve">. </w:t>
      </w:r>
      <w:r w:rsidRPr="00645037">
        <w:rPr>
          <w:rFonts w:ascii="Times New Roman" w:hAnsi="Times New Roman"/>
          <w:sz w:val="20"/>
          <w:szCs w:val="20"/>
          <w:lang w:val="en-US"/>
        </w:rPr>
        <w:t>438-439.</w:t>
      </w:r>
    </w:p>
  </w:footnote>
  <w:footnote w:id="75">
    <w:p w14:paraId="74CDB6D1" w14:textId="77777777" w:rsidR="00D10D54" w:rsidRPr="00645037" w:rsidRDefault="00D10D54" w:rsidP="00645037">
      <w:pPr>
        <w:pStyle w:val="FootnoteText"/>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gramStart"/>
      <w:r w:rsidRPr="00645037">
        <w:rPr>
          <w:rFonts w:ascii="Times New Roman" w:hAnsi="Times New Roman"/>
          <w:i/>
          <w:sz w:val="20"/>
          <w:szCs w:val="20"/>
        </w:rPr>
        <w:t xml:space="preserve">Prosecutor v. </w:t>
      </w:r>
      <w:proofErr w:type="spellStart"/>
      <w:r w:rsidRPr="00645037">
        <w:rPr>
          <w:rFonts w:ascii="Times New Roman" w:hAnsi="Times New Roman"/>
          <w:i/>
          <w:sz w:val="20"/>
          <w:szCs w:val="20"/>
          <w:lang w:val="en-US"/>
        </w:rPr>
        <w:t>Karadžić</w:t>
      </w:r>
      <w:proofErr w:type="spellEnd"/>
      <w:r w:rsidRPr="00645037">
        <w:rPr>
          <w:rFonts w:ascii="Times New Roman" w:hAnsi="Times New Roman"/>
          <w:i/>
          <w:sz w:val="20"/>
          <w:szCs w:val="20"/>
          <w:lang w:val="en-US"/>
        </w:rPr>
        <w:t xml:space="preserve"> </w:t>
      </w:r>
      <w:r w:rsidRPr="00645037">
        <w:rPr>
          <w:rFonts w:ascii="Times New Roman" w:hAnsi="Times New Roman"/>
          <w:sz w:val="20"/>
          <w:szCs w:val="20"/>
          <w:lang w:val="en-US"/>
        </w:rPr>
        <w:t>(IT-95-5/18), Prosecution’s Marked-Up Indictment, 19 October 2009, para.</w:t>
      </w:r>
      <w:proofErr w:type="gramEnd"/>
      <w:r w:rsidRPr="00645037">
        <w:rPr>
          <w:rFonts w:ascii="Times New Roman" w:hAnsi="Times New Roman"/>
          <w:sz w:val="20"/>
          <w:szCs w:val="20"/>
          <w:lang w:val="en-US"/>
        </w:rPr>
        <w:t xml:space="preserve"> 8.</w:t>
      </w:r>
    </w:p>
  </w:footnote>
  <w:footnote w:id="76">
    <w:p w14:paraId="12EB6471" w14:textId="714A62ED" w:rsidR="00D10D54" w:rsidRPr="00645037" w:rsidRDefault="00D10D54" w:rsidP="00645037">
      <w:pPr>
        <w:pStyle w:val="FootnoteText"/>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para. 38.</w:t>
      </w:r>
    </w:p>
  </w:footnote>
  <w:footnote w:id="77">
    <w:p w14:paraId="6B7907E8"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 xml:space="preserve">Prosecutor v. </w:t>
      </w:r>
      <w:proofErr w:type="spellStart"/>
      <w:r w:rsidRPr="00645037">
        <w:rPr>
          <w:rFonts w:ascii="Times New Roman" w:hAnsi="Times New Roman"/>
          <w:i/>
          <w:sz w:val="20"/>
          <w:szCs w:val="20"/>
          <w:lang w:val="en-US"/>
        </w:rPr>
        <w:t>Karadžić</w:t>
      </w:r>
      <w:proofErr w:type="spellEnd"/>
      <w:r w:rsidRPr="00645037">
        <w:rPr>
          <w:rFonts w:ascii="Times New Roman" w:hAnsi="Times New Roman"/>
          <w:i/>
          <w:sz w:val="20"/>
          <w:szCs w:val="20"/>
          <w:lang w:val="en-US"/>
        </w:rPr>
        <w:t xml:space="preserve"> </w:t>
      </w:r>
      <w:r w:rsidRPr="00645037">
        <w:rPr>
          <w:rFonts w:ascii="Times New Roman" w:hAnsi="Times New Roman"/>
          <w:sz w:val="20"/>
          <w:szCs w:val="20"/>
          <w:lang w:val="en-US"/>
        </w:rPr>
        <w:t>(IT-95-5/18), Transcript, 28 June 2012, p. 28751, lines 23-25, p. 28752, line 1, p. 28757, line 25, p. 28758, lines 1-10.</w:t>
      </w:r>
    </w:p>
  </w:footnote>
  <w:footnote w:id="78">
    <w:p w14:paraId="1D314CB7" w14:textId="2B843C8C"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 28763, lines 20-24.</w:t>
      </w:r>
    </w:p>
  </w:footnote>
  <w:footnote w:id="79">
    <w:p w14:paraId="0758BEA8" w14:textId="0A4DED1C"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 28764, lines 22-25.</w:t>
      </w:r>
    </w:p>
  </w:footnote>
  <w:footnote w:id="80">
    <w:p w14:paraId="7296F304" w14:textId="14095FB0"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 28765, lines 1-4.</w:t>
      </w:r>
    </w:p>
  </w:footnote>
  <w:footnote w:id="81">
    <w:p w14:paraId="23F5E54E" w14:textId="747883DA"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 28765, lines 4-13.</w:t>
      </w:r>
    </w:p>
  </w:footnote>
  <w:footnote w:id="82">
    <w:p w14:paraId="2B6A96C3" w14:textId="6A2617E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 28765, lines 19-22.</w:t>
      </w:r>
    </w:p>
  </w:footnote>
  <w:footnote w:id="83">
    <w:p w14:paraId="33267DDF" w14:textId="2B421C9E"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 28766, lines 3-6.</w:t>
      </w:r>
    </w:p>
  </w:footnote>
  <w:footnote w:id="84">
    <w:p w14:paraId="66B7B557" w14:textId="0C15E70D"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 28766, lines 12-18.</w:t>
      </w:r>
    </w:p>
  </w:footnote>
  <w:footnote w:id="85">
    <w:p w14:paraId="30B4C8F0" w14:textId="2082A3C6"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 28766, lines 23-25, p. 28767, lines 1-3.</w:t>
      </w:r>
    </w:p>
  </w:footnote>
  <w:footnote w:id="86">
    <w:p w14:paraId="228D5C1B" w14:textId="24ABB389"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 28767, lines 11-17.</w:t>
      </w:r>
    </w:p>
  </w:footnote>
  <w:footnote w:id="87">
    <w:p w14:paraId="24134523" w14:textId="0547DE5B"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 28767, line 22.</w:t>
      </w:r>
    </w:p>
  </w:footnote>
  <w:footnote w:id="88">
    <w:p w14:paraId="12501494" w14:textId="349E705D"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 28768, lines 5-15.</w:t>
      </w:r>
    </w:p>
  </w:footnote>
  <w:footnote w:id="89">
    <w:p w14:paraId="25322279" w14:textId="43CC4354"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 28769, lines 3-6.</w:t>
      </w:r>
    </w:p>
  </w:footnote>
  <w:footnote w:id="90">
    <w:p w14:paraId="0F6131FC" w14:textId="3DE9F596"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 28769, lines 10-12.</w:t>
      </w:r>
    </w:p>
  </w:footnote>
  <w:footnote w:id="91">
    <w:p w14:paraId="1EC7429A"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 xml:space="preserve">Prosecutor v. </w:t>
      </w:r>
      <w:proofErr w:type="spellStart"/>
      <w:r w:rsidRPr="00645037">
        <w:rPr>
          <w:rFonts w:ascii="Times New Roman" w:hAnsi="Times New Roman"/>
          <w:i/>
          <w:sz w:val="20"/>
          <w:szCs w:val="20"/>
          <w:lang w:val="en-US"/>
        </w:rPr>
        <w:t>Karadžić</w:t>
      </w:r>
      <w:proofErr w:type="spellEnd"/>
      <w:r w:rsidRPr="00645037">
        <w:rPr>
          <w:rFonts w:ascii="Times New Roman" w:hAnsi="Times New Roman"/>
          <w:sz w:val="20"/>
          <w:szCs w:val="20"/>
          <w:lang w:val="en-US"/>
        </w:rPr>
        <w:t xml:space="preserve"> (IT-95-5/18-AR98bis.l), Judgment, 11 July 2013.</w:t>
      </w:r>
    </w:p>
  </w:footnote>
  <w:footnote w:id="92">
    <w:p w14:paraId="5D52CE4F" w14:textId="57CB461C"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w:t>
      </w:r>
      <w:r w:rsidRPr="00645037">
        <w:rPr>
          <w:rFonts w:ascii="Times New Roman" w:hAnsi="Times New Roman"/>
          <w:sz w:val="20"/>
          <w:szCs w:val="20"/>
        </w:rPr>
        <w:t>para. 94.</w:t>
      </w:r>
    </w:p>
  </w:footnote>
  <w:footnote w:id="93">
    <w:p w14:paraId="4CC187A9" w14:textId="34262D10" w:rsidR="00D10D54" w:rsidRPr="00645037" w:rsidRDefault="00D10D54" w:rsidP="00645037">
      <w:pPr>
        <w:pStyle w:val="PlainText"/>
        <w:jc w:val="both"/>
        <w:rPr>
          <w:rFonts w:ascii="Times New Roman" w:hAnsi="Times New Roman" w:cs="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cs="Times New Roman"/>
          <w:sz w:val="20"/>
          <w:szCs w:val="20"/>
        </w:rPr>
        <w:t xml:space="preserve"> </w:t>
      </w:r>
      <w:r w:rsidRPr="00645037">
        <w:rPr>
          <w:rFonts w:ascii="Times New Roman" w:hAnsi="Times New Roman" w:cs="Times New Roman"/>
          <w:i/>
          <w:sz w:val="20"/>
          <w:szCs w:val="20"/>
        </w:rPr>
        <w:t>Ibid</w:t>
      </w:r>
      <w:proofErr w:type="gramStart"/>
      <w:r w:rsidRPr="00645037">
        <w:rPr>
          <w:rFonts w:ascii="Times New Roman" w:hAnsi="Times New Roman" w:cs="Times New Roman"/>
          <w:i/>
          <w:sz w:val="20"/>
          <w:szCs w:val="20"/>
        </w:rPr>
        <w:t>.</w:t>
      </w:r>
      <w:r w:rsidRPr="00645037">
        <w:rPr>
          <w:rFonts w:ascii="Times New Roman" w:hAnsi="Times New Roman" w:cs="Times New Roman"/>
          <w:sz w:val="20"/>
          <w:szCs w:val="20"/>
        </w:rPr>
        <w:t>,</w:t>
      </w:r>
      <w:proofErr w:type="gramEnd"/>
      <w:r w:rsidRPr="00645037">
        <w:rPr>
          <w:rFonts w:ascii="Times New Roman" w:hAnsi="Times New Roman" w:cs="Times New Roman"/>
          <w:sz w:val="20"/>
          <w:szCs w:val="20"/>
        </w:rPr>
        <w:t xml:space="preserve"> para. 25. This is probably a misreading of the Trial Chamber’s position. Like the Appeals Chamber, the Trial Chamber methodically examined the relevance of each of the three punishable acts of genocide. Before turning to causing serious bodily and mental harm (beginning at p. 28765, line 14), it discussed killing in the previous paragraph (beginning at p. 28764, line 19). There it concluded, in language similar to what it used for the other two acts of genocide further on in the ruling, that ‘even if taken at its highest, does not reach the level from which a reasonable trier of fact could infer that a significant section of the Bosnian Muslim and/or Bosnian Croat groups and a substantial number of members of these groups were targeted for destruction so as to have an impact on the existence of the Bosnian Muslims and/or Bosnian Croats as such’ (p. 28764, lines 8-13).</w:t>
      </w:r>
    </w:p>
  </w:footnote>
  <w:footnote w:id="94">
    <w:p w14:paraId="377E4BDE" w14:textId="66D774DD" w:rsidR="00D10D54" w:rsidRPr="00645037" w:rsidRDefault="00D10D54" w:rsidP="00645037">
      <w:pPr>
        <w:pStyle w:val="PlainText"/>
        <w:jc w:val="both"/>
        <w:rPr>
          <w:rFonts w:ascii="Times New Roman" w:hAnsi="Times New Roman" w:cs="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cs="Times New Roman"/>
          <w:sz w:val="20"/>
          <w:szCs w:val="20"/>
        </w:rPr>
        <w:t xml:space="preserve"> </w:t>
      </w:r>
      <w:r w:rsidRPr="00645037">
        <w:rPr>
          <w:rFonts w:ascii="Times New Roman" w:hAnsi="Times New Roman" w:cs="Times New Roman"/>
          <w:i/>
          <w:sz w:val="20"/>
          <w:szCs w:val="20"/>
        </w:rPr>
        <w:t>Ibid</w:t>
      </w:r>
      <w:proofErr w:type="gramStart"/>
      <w:r w:rsidRPr="00645037">
        <w:rPr>
          <w:rFonts w:ascii="Times New Roman" w:hAnsi="Times New Roman" w:cs="Times New Roman"/>
          <w:i/>
          <w:sz w:val="20"/>
          <w:szCs w:val="20"/>
        </w:rPr>
        <w:t>.</w:t>
      </w:r>
      <w:r w:rsidRPr="00645037">
        <w:rPr>
          <w:rFonts w:ascii="Times New Roman" w:hAnsi="Times New Roman" w:cs="Times New Roman"/>
          <w:sz w:val="20"/>
          <w:szCs w:val="20"/>
        </w:rPr>
        <w:t>,</w:t>
      </w:r>
      <w:proofErr w:type="gramEnd"/>
      <w:r w:rsidRPr="00645037">
        <w:rPr>
          <w:rFonts w:ascii="Times New Roman" w:hAnsi="Times New Roman" w:cs="Times New Roman"/>
          <w:sz w:val="20"/>
          <w:szCs w:val="20"/>
        </w:rPr>
        <w:t xml:space="preserve"> </w:t>
      </w:r>
      <w:proofErr w:type="spellStart"/>
      <w:r w:rsidRPr="00645037">
        <w:rPr>
          <w:rFonts w:ascii="Times New Roman" w:hAnsi="Times New Roman" w:cs="Times New Roman"/>
          <w:sz w:val="20"/>
          <w:szCs w:val="20"/>
        </w:rPr>
        <w:t>paras</w:t>
      </w:r>
      <w:proofErr w:type="spellEnd"/>
      <w:r w:rsidRPr="00645037">
        <w:rPr>
          <w:rFonts w:ascii="Times New Roman" w:hAnsi="Times New Roman" w:cs="Times New Roman"/>
          <w:sz w:val="20"/>
          <w:szCs w:val="20"/>
        </w:rPr>
        <w:t>. 34-36.</w:t>
      </w:r>
    </w:p>
  </w:footnote>
  <w:footnote w:id="95">
    <w:p w14:paraId="03314597" w14:textId="2DAFB7C4" w:rsidR="00D10D54" w:rsidRPr="00645037" w:rsidRDefault="00D10D54" w:rsidP="00645037">
      <w:pPr>
        <w:pStyle w:val="PlainText"/>
        <w:jc w:val="both"/>
        <w:rPr>
          <w:rFonts w:ascii="Times New Roman" w:hAnsi="Times New Roman" w:cs="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cs="Times New Roman"/>
          <w:sz w:val="20"/>
          <w:szCs w:val="20"/>
        </w:rPr>
        <w:t xml:space="preserve"> </w:t>
      </w:r>
      <w:r w:rsidRPr="00645037">
        <w:rPr>
          <w:rFonts w:ascii="Times New Roman" w:hAnsi="Times New Roman" w:cs="Times New Roman"/>
          <w:i/>
          <w:sz w:val="20"/>
          <w:szCs w:val="20"/>
        </w:rPr>
        <w:t>Ibid</w:t>
      </w:r>
      <w:proofErr w:type="gramStart"/>
      <w:r w:rsidRPr="00645037">
        <w:rPr>
          <w:rFonts w:ascii="Times New Roman" w:hAnsi="Times New Roman" w:cs="Times New Roman"/>
          <w:i/>
          <w:sz w:val="20"/>
          <w:szCs w:val="20"/>
        </w:rPr>
        <w:t>.</w:t>
      </w:r>
      <w:r w:rsidRPr="00645037">
        <w:rPr>
          <w:rFonts w:ascii="Times New Roman" w:hAnsi="Times New Roman" w:cs="Times New Roman"/>
          <w:sz w:val="20"/>
          <w:szCs w:val="20"/>
        </w:rPr>
        <w:t>,</w:t>
      </w:r>
      <w:proofErr w:type="gramEnd"/>
      <w:r w:rsidRPr="00645037">
        <w:rPr>
          <w:rFonts w:ascii="Times New Roman" w:hAnsi="Times New Roman" w:cs="Times New Roman"/>
          <w:sz w:val="20"/>
          <w:szCs w:val="20"/>
        </w:rPr>
        <w:t xml:space="preserve"> para. </w:t>
      </w:r>
      <w:proofErr w:type="gramStart"/>
      <w:r w:rsidRPr="00645037">
        <w:rPr>
          <w:rFonts w:ascii="Times New Roman" w:hAnsi="Times New Roman" w:cs="Times New Roman"/>
          <w:sz w:val="20"/>
          <w:szCs w:val="20"/>
        </w:rPr>
        <w:t>37 (reference omitted).</w:t>
      </w:r>
      <w:proofErr w:type="gramEnd"/>
    </w:p>
  </w:footnote>
  <w:footnote w:id="96">
    <w:p w14:paraId="14475F57" w14:textId="5F0CA5C1"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w:t>
      </w:r>
      <w:proofErr w:type="spellStart"/>
      <w:r w:rsidRPr="00645037">
        <w:rPr>
          <w:rFonts w:ascii="Times New Roman" w:hAnsi="Times New Roman"/>
          <w:sz w:val="20"/>
          <w:szCs w:val="20"/>
        </w:rPr>
        <w:t>paras</w:t>
      </w:r>
      <w:proofErr w:type="spellEnd"/>
      <w:r w:rsidRPr="00645037">
        <w:rPr>
          <w:rFonts w:ascii="Times New Roman" w:hAnsi="Times New Roman"/>
          <w:sz w:val="20"/>
          <w:szCs w:val="20"/>
        </w:rPr>
        <w:t>. 47-48.</w:t>
      </w:r>
    </w:p>
  </w:footnote>
  <w:footnote w:id="97">
    <w:p w14:paraId="112149E7" w14:textId="70D014C4" w:rsidR="00D10D54" w:rsidRPr="00645037" w:rsidRDefault="00D10D54" w:rsidP="00645037">
      <w:pPr>
        <w:widowControl w:val="0"/>
        <w:autoSpaceDE w:val="0"/>
        <w:autoSpaceDN w:val="0"/>
        <w:adjustRightInd w:val="0"/>
        <w:rPr>
          <w:rFonts w:ascii="Times New Roman" w:hAnsi="Times New Roman"/>
          <w:sz w:val="20"/>
          <w:szCs w:val="20"/>
          <w:lang w:val="en-US" w:eastAsia="bg-BG"/>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gramStart"/>
      <w:r w:rsidRPr="00645037">
        <w:rPr>
          <w:rFonts w:ascii="Times New Roman" w:hAnsi="Times New Roman"/>
          <w:i/>
          <w:sz w:val="20"/>
          <w:szCs w:val="20"/>
        </w:rPr>
        <w:t xml:space="preserve">Prosecutor v. </w:t>
      </w:r>
      <w:proofErr w:type="spellStart"/>
      <w:r w:rsidRPr="00645037">
        <w:rPr>
          <w:rFonts w:ascii="Times New Roman" w:hAnsi="Times New Roman"/>
          <w:i/>
          <w:iCs/>
          <w:sz w:val="20"/>
          <w:szCs w:val="20"/>
          <w:lang w:val="en-US"/>
        </w:rPr>
        <w:t>Staki</w:t>
      </w:r>
      <w:proofErr w:type="spellEnd"/>
      <w:r w:rsidRPr="00645037">
        <w:rPr>
          <w:rFonts w:ascii="Times New Roman" w:hAnsi="Times New Roman"/>
          <w:i/>
          <w:sz w:val="20"/>
          <w:szCs w:val="20"/>
        </w:rPr>
        <w:t>ć</w:t>
      </w:r>
      <w:r w:rsidRPr="00645037">
        <w:rPr>
          <w:rFonts w:ascii="Times New Roman" w:hAnsi="Times New Roman"/>
          <w:i/>
          <w:iCs/>
          <w:sz w:val="20"/>
          <w:szCs w:val="20"/>
          <w:lang w:val="en-US"/>
        </w:rPr>
        <w:t xml:space="preserve"> </w:t>
      </w:r>
      <w:r w:rsidRPr="00645037">
        <w:rPr>
          <w:rFonts w:ascii="Times New Roman" w:hAnsi="Times New Roman"/>
          <w:sz w:val="20"/>
          <w:szCs w:val="20"/>
          <w:lang w:val="en-US"/>
        </w:rPr>
        <w:t>(</w:t>
      </w:r>
      <w:r w:rsidRPr="00645037">
        <w:rPr>
          <w:rFonts w:ascii="Times New Roman" w:hAnsi="Times New Roman"/>
          <w:sz w:val="20"/>
          <w:szCs w:val="20"/>
          <w:lang w:val="en-US" w:eastAsia="bg-BG"/>
        </w:rPr>
        <w:t>IT-97-24-A),</w:t>
      </w:r>
      <w:r w:rsidRPr="00645037">
        <w:rPr>
          <w:rFonts w:ascii="Times New Roman" w:hAnsi="Times New Roman"/>
          <w:sz w:val="20"/>
          <w:szCs w:val="20"/>
          <w:lang w:val="en-US"/>
        </w:rPr>
        <w:t xml:space="preserve"> Judgment, 22 March 2006, para.</w:t>
      </w:r>
      <w:proofErr w:type="gramEnd"/>
      <w:r w:rsidRPr="00645037">
        <w:rPr>
          <w:rFonts w:ascii="Times New Roman" w:hAnsi="Times New Roman"/>
          <w:sz w:val="20"/>
          <w:szCs w:val="20"/>
          <w:lang w:val="en-US"/>
        </w:rPr>
        <w:t xml:space="preserve"> 55.</w:t>
      </w:r>
    </w:p>
  </w:footnote>
  <w:footnote w:id="98">
    <w:p w14:paraId="451CDD5D"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gramStart"/>
      <w:r w:rsidRPr="00645037">
        <w:rPr>
          <w:rFonts w:ascii="Times New Roman" w:hAnsi="Times New Roman"/>
          <w:i/>
          <w:sz w:val="20"/>
          <w:szCs w:val="20"/>
        </w:rPr>
        <w:t xml:space="preserve">Prosecutor v. </w:t>
      </w:r>
      <w:proofErr w:type="spellStart"/>
      <w:r w:rsidRPr="00645037">
        <w:rPr>
          <w:rFonts w:ascii="Times New Roman" w:hAnsi="Times New Roman"/>
          <w:i/>
          <w:sz w:val="20"/>
          <w:szCs w:val="20"/>
        </w:rPr>
        <w:t>Karadžić</w:t>
      </w:r>
      <w:proofErr w:type="spellEnd"/>
      <w:r w:rsidRPr="00645037">
        <w:rPr>
          <w:rFonts w:ascii="Times New Roman" w:hAnsi="Times New Roman"/>
          <w:sz w:val="20"/>
          <w:szCs w:val="20"/>
        </w:rPr>
        <w:t xml:space="preserve"> (IT-95-5/18-AR98bis.l), Judgment, 11 July 2013, </w:t>
      </w:r>
      <w:proofErr w:type="spellStart"/>
      <w:r w:rsidRPr="00645037">
        <w:rPr>
          <w:rFonts w:ascii="Times New Roman" w:hAnsi="Times New Roman"/>
          <w:sz w:val="20"/>
          <w:szCs w:val="20"/>
        </w:rPr>
        <w:t>paras</w:t>
      </w:r>
      <w:proofErr w:type="spellEnd"/>
      <w:r w:rsidRPr="00645037">
        <w:rPr>
          <w:rFonts w:ascii="Times New Roman" w:hAnsi="Times New Roman"/>
          <w:sz w:val="20"/>
          <w:szCs w:val="20"/>
        </w:rPr>
        <w:t>.</w:t>
      </w:r>
      <w:proofErr w:type="gramEnd"/>
      <w:r w:rsidRPr="00645037">
        <w:rPr>
          <w:rFonts w:ascii="Times New Roman" w:hAnsi="Times New Roman"/>
          <w:sz w:val="20"/>
          <w:szCs w:val="20"/>
        </w:rPr>
        <w:t xml:space="preserve"> 59-60.</w:t>
      </w:r>
    </w:p>
  </w:footnote>
  <w:footnote w:id="99">
    <w:p w14:paraId="7F650655" w14:textId="294C101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rPr>
        <w:t>,</w:t>
      </w:r>
      <w:proofErr w:type="gramEnd"/>
      <w:r w:rsidRPr="00645037">
        <w:rPr>
          <w:rFonts w:ascii="Times New Roman" w:hAnsi="Times New Roman"/>
          <w:sz w:val="20"/>
          <w:szCs w:val="20"/>
        </w:rPr>
        <w:t xml:space="preserve"> para. 56.</w:t>
      </w:r>
    </w:p>
  </w:footnote>
  <w:footnote w:id="100">
    <w:p w14:paraId="61B0EB01" w14:textId="0BD85078"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rPr>
        <w:t>,</w:t>
      </w:r>
      <w:proofErr w:type="gramEnd"/>
      <w:r w:rsidRPr="00645037">
        <w:rPr>
          <w:rFonts w:ascii="Times New Roman" w:hAnsi="Times New Roman"/>
          <w:sz w:val="20"/>
          <w:szCs w:val="20"/>
        </w:rPr>
        <w:t xml:space="preserve"> para. 56.</w:t>
      </w:r>
    </w:p>
  </w:footnote>
  <w:footnote w:id="101">
    <w:p w14:paraId="5B347694" w14:textId="34D65309"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rPr>
        <w:t>,</w:t>
      </w:r>
      <w:proofErr w:type="gramEnd"/>
      <w:r w:rsidRPr="00645037">
        <w:rPr>
          <w:rFonts w:ascii="Times New Roman" w:hAnsi="Times New Roman"/>
          <w:sz w:val="20"/>
          <w:szCs w:val="20"/>
        </w:rPr>
        <w:t xml:space="preserve"> para. 61, citing </w:t>
      </w:r>
      <w:r w:rsidRPr="00645037">
        <w:rPr>
          <w:rFonts w:ascii="Times New Roman" w:hAnsi="Times New Roman"/>
          <w:i/>
          <w:sz w:val="20"/>
          <w:szCs w:val="20"/>
        </w:rPr>
        <w:t xml:space="preserve">Prosecutor v. </w:t>
      </w:r>
      <w:proofErr w:type="spellStart"/>
      <w:r w:rsidRPr="00645037">
        <w:rPr>
          <w:rFonts w:ascii="Times New Roman" w:hAnsi="Times New Roman"/>
          <w:i/>
          <w:sz w:val="20"/>
          <w:szCs w:val="20"/>
          <w:lang w:val="en-US"/>
        </w:rPr>
        <w:t>Karadžić</w:t>
      </w:r>
      <w:proofErr w:type="spellEnd"/>
      <w:r w:rsidRPr="00645037">
        <w:rPr>
          <w:rFonts w:ascii="Times New Roman" w:hAnsi="Times New Roman"/>
          <w:i/>
          <w:sz w:val="20"/>
          <w:szCs w:val="20"/>
          <w:lang w:val="en-US"/>
        </w:rPr>
        <w:t xml:space="preserve"> </w:t>
      </w:r>
      <w:r w:rsidRPr="00645037">
        <w:rPr>
          <w:rFonts w:ascii="Times New Roman" w:hAnsi="Times New Roman"/>
          <w:sz w:val="20"/>
          <w:szCs w:val="20"/>
          <w:lang w:val="en-US"/>
        </w:rPr>
        <w:t>(IT-95-5/18), Transcript, 28 June 2012, p. 28765, lines 9-13 (emphasis added by the Appeals Chamber)</w:t>
      </w:r>
      <w:r w:rsidRPr="00645037">
        <w:rPr>
          <w:rFonts w:ascii="Times New Roman" w:hAnsi="Times New Roman"/>
          <w:sz w:val="20"/>
          <w:szCs w:val="20"/>
        </w:rPr>
        <w:t>.</w:t>
      </w:r>
    </w:p>
  </w:footnote>
  <w:footnote w:id="102">
    <w:p w14:paraId="06B5F737" w14:textId="30ACE696"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rPr>
        <w:t>,</w:t>
      </w:r>
      <w:proofErr w:type="gramEnd"/>
      <w:r w:rsidRPr="00645037">
        <w:rPr>
          <w:rFonts w:ascii="Times New Roman" w:hAnsi="Times New Roman"/>
          <w:sz w:val="20"/>
          <w:szCs w:val="20"/>
        </w:rPr>
        <w:t xml:space="preserve"> para. 68.</w:t>
      </w:r>
    </w:p>
  </w:footnote>
  <w:footnote w:id="103">
    <w:p w14:paraId="0DD9BE98" w14:textId="2901D613"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rPr>
        <w:t>,</w:t>
      </w:r>
      <w:proofErr w:type="gramEnd"/>
      <w:r w:rsidRPr="00645037">
        <w:rPr>
          <w:rFonts w:ascii="Times New Roman" w:hAnsi="Times New Roman"/>
          <w:sz w:val="20"/>
          <w:szCs w:val="20"/>
        </w:rPr>
        <w:t xml:space="preserve"> </w:t>
      </w:r>
      <w:proofErr w:type="spellStart"/>
      <w:r w:rsidRPr="00645037">
        <w:rPr>
          <w:rFonts w:ascii="Times New Roman" w:hAnsi="Times New Roman"/>
          <w:sz w:val="20"/>
          <w:szCs w:val="20"/>
        </w:rPr>
        <w:t>paras</w:t>
      </w:r>
      <w:proofErr w:type="spellEnd"/>
      <w:r w:rsidRPr="00645037">
        <w:rPr>
          <w:rFonts w:ascii="Times New Roman" w:hAnsi="Times New Roman"/>
          <w:sz w:val="20"/>
          <w:szCs w:val="20"/>
        </w:rPr>
        <w:t>. 79-83.</w:t>
      </w:r>
    </w:p>
  </w:footnote>
  <w:footnote w:id="104">
    <w:p w14:paraId="757176E0" w14:textId="7A9887A0"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rPr>
        <w:t>,</w:t>
      </w:r>
      <w:proofErr w:type="gramEnd"/>
      <w:r w:rsidRPr="00645037">
        <w:rPr>
          <w:rFonts w:ascii="Times New Roman" w:hAnsi="Times New Roman"/>
          <w:sz w:val="20"/>
          <w:szCs w:val="20"/>
        </w:rPr>
        <w:t xml:space="preserve"> </w:t>
      </w:r>
      <w:proofErr w:type="spellStart"/>
      <w:r w:rsidRPr="00645037">
        <w:rPr>
          <w:rFonts w:ascii="Times New Roman" w:hAnsi="Times New Roman"/>
          <w:sz w:val="20"/>
          <w:szCs w:val="20"/>
        </w:rPr>
        <w:t>paras</w:t>
      </w:r>
      <w:proofErr w:type="spellEnd"/>
      <w:r w:rsidRPr="00645037">
        <w:rPr>
          <w:rFonts w:ascii="Times New Roman" w:hAnsi="Times New Roman"/>
          <w:sz w:val="20"/>
          <w:szCs w:val="20"/>
        </w:rPr>
        <w:t xml:space="preserve">. </w:t>
      </w:r>
      <w:proofErr w:type="gramStart"/>
      <w:r w:rsidRPr="00645037">
        <w:rPr>
          <w:rFonts w:ascii="Times New Roman" w:hAnsi="Times New Roman"/>
          <w:sz w:val="20"/>
          <w:szCs w:val="20"/>
        </w:rPr>
        <w:t>84, 95.</w:t>
      </w:r>
      <w:proofErr w:type="gramEnd"/>
    </w:p>
  </w:footnote>
  <w:footnote w:id="105">
    <w:p w14:paraId="1CEA6F48" w14:textId="09848B1D"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rPr>
        <w:t>,</w:t>
      </w:r>
      <w:proofErr w:type="gramEnd"/>
      <w:r w:rsidRPr="00645037">
        <w:rPr>
          <w:rFonts w:ascii="Times New Roman" w:hAnsi="Times New Roman"/>
          <w:sz w:val="20"/>
          <w:szCs w:val="20"/>
        </w:rPr>
        <w:t xml:space="preserve"> para. 97.</w:t>
      </w:r>
    </w:p>
  </w:footnote>
  <w:footnote w:id="106">
    <w:p w14:paraId="68BBD307" w14:textId="00AE2427" w:rsidR="00D10D54" w:rsidRPr="00645037" w:rsidRDefault="00D10D54" w:rsidP="00645037">
      <w:pPr>
        <w:widowControl w:val="0"/>
        <w:autoSpaceDE w:val="0"/>
        <w:autoSpaceDN w:val="0"/>
        <w:adjustRightInd w:val="0"/>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rPr>
        <w:t>,</w:t>
      </w:r>
      <w:proofErr w:type="gramEnd"/>
      <w:r w:rsidRPr="00645037">
        <w:rPr>
          <w:rFonts w:ascii="Times New Roman" w:hAnsi="Times New Roman"/>
          <w:sz w:val="20"/>
          <w:szCs w:val="20"/>
        </w:rPr>
        <w:t xml:space="preserve"> para. </w:t>
      </w:r>
      <w:proofErr w:type="gramStart"/>
      <w:r w:rsidRPr="00645037">
        <w:rPr>
          <w:rFonts w:ascii="Times New Roman" w:hAnsi="Times New Roman"/>
          <w:sz w:val="20"/>
          <w:szCs w:val="20"/>
        </w:rPr>
        <w:t>99, c</w:t>
      </w:r>
      <w:proofErr w:type="spellStart"/>
      <w:r w:rsidRPr="00645037">
        <w:rPr>
          <w:rFonts w:ascii="Times New Roman" w:hAnsi="Times New Roman"/>
          <w:sz w:val="20"/>
          <w:szCs w:val="20"/>
          <w:lang w:val="en-US"/>
        </w:rPr>
        <w:t>iting</w:t>
      </w:r>
      <w:proofErr w:type="spellEnd"/>
      <w:r w:rsidRPr="00645037">
        <w:rPr>
          <w:rFonts w:ascii="Times New Roman" w:hAnsi="Times New Roman"/>
          <w:sz w:val="20"/>
          <w:szCs w:val="20"/>
          <w:lang w:val="en-US"/>
        </w:rPr>
        <w:t xml:space="preserve"> </w:t>
      </w:r>
      <w:r w:rsidRPr="00645037">
        <w:rPr>
          <w:rFonts w:ascii="Times New Roman" w:hAnsi="Times New Roman"/>
          <w:i/>
          <w:iCs/>
          <w:sz w:val="20"/>
          <w:szCs w:val="20"/>
          <w:lang w:val="en-US"/>
        </w:rPr>
        <w:t xml:space="preserve">Prosecutor v. </w:t>
      </w:r>
      <w:proofErr w:type="spellStart"/>
      <w:r w:rsidRPr="00645037">
        <w:rPr>
          <w:rFonts w:ascii="Times New Roman" w:hAnsi="Times New Roman"/>
          <w:i/>
          <w:iCs/>
          <w:sz w:val="20"/>
          <w:szCs w:val="20"/>
          <w:lang w:val="en-US"/>
        </w:rPr>
        <w:t>Jelisi</w:t>
      </w:r>
      <w:proofErr w:type="spellEnd"/>
      <w:r w:rsidRPr="00645037">
        <w:rPr>
          <w:rFonts w:ascii="Times New Roman" w:hAnsi="Times New Roman"/>
          <w:i/>
          <w:sz w:val="20"/>
          <w:szCs w:val="20"/>
        </w:rPr>
        <w:t>ć</w:t>
      </w:r>
      <w:r w:rsidRPr="00645037">
        <w:rPr>
          <w:rFonts w:ascii="Times New Roman" w:hAnsi="Times New Roman"/>
          <w:i/>
          <w:iCs/>
          <w:sz w:val="20"/>
          <w:szCs w:val="20"/>
          <w:lang w:val="en-US"/>
        </w:rPr>
        <w:t xml:space="preserve"> </w:t>
      </w:r>
      <w:r w:rsidRPr="00645037">
        <w:rPr>
          <w:rFonts w:ascii="Times New Roman" w:hAnsi="Times New Roman"/>
          <w:sz w:val="20"/>
          <w:szCs w:val="20"/>
          <w:lang w:val="en-US"/>
        </w:rPr>
        <w:t>(IT-95-10-A), Judgment, 5 July 2001, para.</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 xml:space="preserve">47; </w:t>
      </w:r>
      <w:r w:rsidRPr="00645037">
        <w:rPr>
          <w:rFonts w:ascii="Times New Roman" w:hAnsi="Times New Roman"/>
          <w:i/>
          <w:iCs/>
          <w:sz w:val="20"/>
          <w:szCs w:val="20"/>
          <w:lang w:val="en-US"/>
        </w:rPr>
        <w:t xml:space="preserve">Prosecutor v. </w:t>
      </w:r>
      <w:proofErr w:type="spellStart"/>
      <w:r w:rsidRPr="00645037">
        <w:rPr>
          <w:rFonts w:ascii="Times New Roman" w:hAnsi="Times New Roman"/>
          <w:i/>
          <w:iCs/>
          <w:sz w:val="20"/>
          <w:szCs w:val="20"/>
          <w:lang w:val="en-US"/>
        </w:rPr>
        <w:t>Krsti</w:t>
      </w:r>
      <w:proofErr w:type="spellEnd"/>
      <w:r w:rsidRPr="00645037">
        <w:rPr>
          <w:rFonts w:ascii="Times New Roman" w:hAnsi="Times New Roman"/>
          <w:i/>
          <w:sz w:val="20"/>
          <w:szCs w:val="20"/>
        </w:rPr>
        <w:t>ć</w:t>
      </w:r>
      <w:r w:rsidRPr="00645037">
        <w:rPr>
          <w:rFonts w:ascii="Times New Roman" w:hAnsi="Times New Roman"/>
          <w:i/>
          <w:iCs/>
          <w:sz w:val="20"/>
          <w:szCs w:val="20"/>
          <w:lang w:val="en-US"/>
        </w:rPr>
        <w:t xml:space="preserve"> (</w:t>
      </w:r>
      <w:r w:rsidRPr="00645037">
        <w:rPr>
          <w:rFonts w:ascii="Times New Roman" w:hAnsi="Times New Roman"/>
          <w:sz w:val="20"/>
          <w:szCs w:val="20"/>
          <w:lang w:val="en-US"/>
        </w:rPr>
        <w:t>IT-98-33-A), Judgment, 19 April 2004, para.</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 xml:space="preserve">34; </w:t>
      </w:r>
      <w:proofErr w:type="spellStart"/>
      <w:r w:rsidRPr="00645037">
        <w:rPr>
          <w:rFonts w:ascii="Times New Roman" w:hAnsi="Times New Roman"/>
          <w:i/>
          <w:iCs/>
          <w:sz w:val="20"/>
          <w:szCs w:val="20"/>
          <w:lang w:val="en-US"/>
        </w:rPr>
        <w:t>Hategekimana</w:t>
      </w:r>
      <w:proofErr w:type="spellEnd"/>
      <w:r w:rsidRPr="00645037">
        <w:rPr>
          <w:rFonts w:ascii="Times New Roman" w:hAnsi="Times New Roman"/>
          <w:i/>
          <w:iCs/>
          <w:sz w:val="20"/>
          <w:szCs w:val="20"/>
          <w:lang w:val="en-US"/>
        </w:rPr>
        <w:t xml:space="preserve"> v. Prosecutor </w:t>
      </w:r>
      <w:r w:rsidRPr="00645037">
        <w:rPr>
          <w:rFonts w:ascii="Times New Roman" w:hAnsi="Times New Roman"/>
          <w:iCs/>
          <w:sz w:val="20"/>
          <w:szCs w:val="20"/>
          <w:lang w:val="en-US"/>
        </w:rPr>
        <w:t>(</w:t>
      </w:r>
      <w:r w:rsidRPr="00645037">
        <w:rPr>
          <w:rFonts w:ascii="Times New Roman" w:hAnsi="Times New Roman"/>
          <w:sz w:val="20"/>
          <w:szCs w:val="20"/>
          <w:lang w:val="en-US"/>
        </w:rPr>
        <w:t>ITCR-00-55B-A), Judgment, 8 May 2012, para.</w:t>
      </w:r>
      <w:proofErr w:type="gram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 xml:space="preserve">133; </w:t>
      </w:r>
      <w:proofErr w:type="spellStart"/>
      <w:r w:rsidRPr="00645037">
        <w:rPr>
          <w:rFonts w:ascii="Times New Roman" w:hAnsi="Times New Roman"/>
          <w:i/>
          <w:iCs/>
          <w:sz w:val="20"/>
          <w:szCs w:val="20"/>
          <w:lang w:val="en-US"/>
        </w:rPr>
        <w:t>Gacumbitsi</w:t>
      </w:r>
      <w:proofErr w:type="spellEnd"/>
      <w:r w:rsidRPr="00645037">
        <w:rPr>
          <w:rFonts w:ascii="Times New Roman" w:hAnsi="Times New Roman"/>
          <w:i/>
          <w:iCs/>
          <w:sz w:val="20"/>
          <w:szCs w:val="20"/>
          <w:lang w:val="en-US"/>
        </w:rPr>
        <w:t xml:space="preserve"> v. Prosecutor (</w:t>
      </w:r>
      <w:r w:rsidRPr="00645037">
        <w:rPr>
          <w:rFonts w:ascii="Times New Roman" w:hAnsi="Times New Roman"/>
          <w:sz w:val="20"/>
          <w:szCs w:val="20"/>
          <w:lang w:val="en-US"/>
        </w:rPr>
        <w:t xml:space="preserve">ICTR-2001-64-A), Judgment, 7 July 2006, </w:t>
      </w:r>
      <w:proofErr w:type="spellStart"/>
      <w:r w:rsidRPr="00645037">
        <w:rPr>
          <w:rFonts w:ascii="Times New Roman" w:hAnsi="Times New Roman"/>
          <w:sz w:val="20"/>
          <w:szCs w:val="20"/>
          <w:lang w:val="en-US"/>
        </w:rPr>
        <w:t>paras</w:t>
      </w:r>
      <w:proofErr w:type="spellEnd"/>
      <w:r w:rsidRPr="00645037">
        <w:rPr>
          <w:rFonts w:ascii="Times New Roman" w:hAnsi="Times New Roman"/>
          <w:sz w:val="20"/>
          <w:szCs w:val="20"/>
          <w:lang w:val="en-US"/>
        </w:rPr>
        <w:t xml:space="preserve"> 40-41.</w:t>
      </w:r>
      <w:proofErr w:type="gramEnd"/>
    </w:p>
  </w:footnote>
  <w:footnote w:id="107">
    <w:p w14:paraId="089BA464" w14:textId="0550268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Ibid</w:t>
      </w:r>
      <w:proofErr w:type="gramStart"/>
      <w:r w:rsidRPr="00645037">
        <w:rPr>
          <w:rFonts w:ascii="Times New Roman" w:hAnsi="Times New Roman"/>
          <w:i/>
          <w:sz w:val="20"/>
          <w:szCs w:val="20"/>
        </w:rPr>
        <w:t>.</w:t>
      </w:r>
      <w:r w:rsidRPr="00645037">
        <w:rPr>
          <w:rFonts w:ascii="Times New Roman" w:hAnsi="Times New Roman"/>
          <w:sz w:val="20"/>
          <w:szCs w:val="20"/>
        </w:rPr>
        <w:t>,</w:t>
      </w:r>
      <w:proofErr w:type="gramEnd"/>
      <w:r w:rsidRPr="00645037">
        <w:rPr>
          <w:rFonts w:ascii="Times New Roman" w:hAnsi="Times New Roman"/>
          <w:sz w:val="20"/>
          <w:szCs w:val="20"/>
        </w:rPr>
        <w:t xml:space="preserve"> para. 100.</w:t>
      </w:r>
    </w:p>
  </w:footnote>
  <w:footnote w:id="108">
    <w:p w14:paraId="55FE3292"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rPr>
        <w:t xml:space="preserve">Prosecutor v. </w:t>
      </w:r>
      <w:r w:rsidRPr="00645037">
        <w:rPr>
          <w:rFonts w:ascii="Times New Roman" w:hAnsi="Times New Roman"/>
          <w:i/>
          <w:sz w:val="20"/>
          <w:szCs w:val="20"/>
          <w:lang w:val="en-IE"/>
        </w:rPr>
        <w:t xml:space="preserve">Delalić </w:t>
      </w:r>
      <w:r w:rsidRPr="00645037">
        <w:rPr>
          <w:rFonts w:ascii="Times New Roman" w:hAnsi="Times New Roman"/>
          <w:sz w:val="20"/>
          <w:szCs w:val="20"/>
          <w:lang w:val="en-IE"/>
        </w:rPr>
        <w:t>et al. (IT-96-21-A), Judgment, 20 February 2001</w:t>
      </w:r>
      <w:r w:rsidRPr="00645037">
        <w:rPr>
          <w:rFonts w:ascii="Times New Roman" w:hAnsi="Times New Roman"/>
          <w:sz w:val="20"/>
          <w:szCs w:val="20"/>
          <w:lang w:val="en-US"/>
        </w:rPr>
        <w:t xml:space="preserve">, para. </w:t>
      </w:r>
      <w:proofErr w:type="gramStart"/>
      <w:r w:rsidRPr="00645037">
        <w:rPr>
          <w:rFonts w:ascii="Times New Roman" w:hAnsi="Times New Roman"/>
          <w:sz w:val="20"/>
          <w:szCs w:val="20"/>
          <w:lang w:val="en-US"/>
        </w:rPr>
        <w:t>434 (emphasis in original).</w:t>
      </w:r>
      <w:proofErr w:type="gramEnd"/>
      <w:r w:rsidRPr="00645037">
        <w:rPr>
          <w:rFonts w:ascii="Times New Roman" w:hAnsi="Times New Roman"/>
          <w:sz w:val="20"/>
          <w:szCs w:val="20"/>
          <w:lang w:val="en-US"/>
        </w:rPr>
        <w:t xml:space="preserve"> </w:t>
      </w:r>
      <w:r w:rsidRPr="00645037">
        <w:rPr>
          <w:rFonts w:ascii="Times New Roman" w:hAnsi="Times New Roman"/>
          <w:iCs/>
          <w:sz w:val="20"/>
          <w:szCs w:val="20"/>
          <w:lang w:val="en-US"/>
        </w:rPr>
        <w:t xml:space="preserve">See also: </w:t>
      </w:r>
      <w:r w:rsidRPr="00645037">
        <w:rPr>
          <w:rFonts w:ascii="Times New Roman" w:hAnsi="Times New Roman"/>
          <w:i/>
          <w:iCs/>
          <w:sz w:val="20"/>
          <w:szCs w:val="20"/>
          <w:lang w:val="en-US"/>
        </w:rPr>
        <w:t xml:space="preserve">Prosecutor v. </w:t>
      </w:r>
      <w:r w:rsidRPr="00645037">
        <w:rPr>
          <w:rFonts w:ascii="Times New Roman" w:hAnsi="Times New Roman"/>
          <w:i/>
          <w:snapToGrid w:val="0"/>
          <w:color w:val="000000"/>
          <w:sz w:val="20"/>
          <w:szCs w:val="20"/>
          <w:lang w:val="en-IE"/>
        </w:rPr>
        <w:t>Jelisić</w:t>
      </w:r>
      <w:r w:rsidRPr="00645037">
        <w:rPr>
          <w:rFonts w:ascii="Times New Roman" w:hAnsi="Times New Roman"/>
          <w:snapToGrid w:val="0"/>
          <w:color w:val="000000"/>
          <w:sz w:val="20"/>
          <w:szCs w:val="20"/>
          <w:lang w:val="en-IE"/>
        </w:rPr>
        <w:t xml:space="preserve"> (IT-95-10-A), Judgment, 5 July 2001</w:t>
      </w:r>
      <w:r w:rsidRPr="00645037">
        <w:rPr>
          <w:rFonts w:ascii="Times New Roman" w:hAnsi="Times New Roman"/>
          <w:sz w:val="20"/>
          <w:szCs w:val="20"/>
          <w:lang w:val="en-US"/>
        </w:rPr>
        <w:t>, para. 37.</w:t>
      </w:r>
    </w:p>
  </w:footnote>
  <w:footnote w:id="109">
    <w:p w14:paraId="53A2F2FD" w14:textId="77777777" w:rsidR="00D10D54" w:rsidRPr="00645037" w:rsidRDefault="00D10D54" w:rsidP="00645037">
      <w:pPr>
        <w:widowControl w:val="0"/>
        <w:autoSpaceDE w:val="0"/>
        <w:autoSpaceDN w:val="0"/>
        <w:adjustRightInd w:val="0"/>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gramStart"/>
      <w:r w:rsidRPr="00645037">
        <w:rPr>
          <w:rFonts w:ascii="Times New Roman" w:hAnsi="Times New Roman"/>
          <w:i/>
          <w:sz w:val="20"/>
          <w:szCs w:val="20"/>
          <w:lang w:val="en-US"/>
        </w:rPr>
        <w:t xml:space="preserve">Prosecutor v. </w:t>
      </w:r>
      <w:proofErr w:type="spellStart"/>
      <w:r w:rsidRPr="00645037">
        <w:rPr>
          <w:rFonts w:ascii="Times New Roman" w:hAnsi="Times New Roman"/>
          <w:i/>
          <w:sz w:val="20"/>
          <w:szCs w:val="20"/>
          <w:lang w:val="en-US"/>
        </w:rPr>
        <w:t>Tolimir</w:t>
      </w:r>
      <w:proofErr w:type="spellEnd"/>
      <w:r w:rsidRPr="00645037">
        <w:rPr>
          <w:rFonts w:ascii="Times New Roman" w:hAnsi="Times New Roman"/>
          <w:i/>
          <w:sz w:val="20"/>
          <w:szCs w:val="20"/>
          <w:lang w:val="en-US"/>
        </w:rPr>
        <w:t xml:space="preserve"> (</w:t>
      </w:r>
      <w:r w:rsidRPr="00645037">
        <w:rPr>
          <w:rFonts w:ascii="Times New Roman" w:hAnsi="Times New Roman"/>
          <w:sz w:val="20"/>
          <w:szCs w:val="20"/>
          <w:lang w:val="en-US"/>
        </w:rPr>
        <w:t>IT-05-88/2-T), Judgment, 12 December 2012, para.</w:t>
      </w:r>
      <w:proofErr w:type="gramEnd"/>
      <w:r w:rsidRPr="00645037">
        <w:rPr>
          <w:rFonts w:ascii="Times New Roman" w:hAnsi="Times New Roman"/>
          <w:sz w:val="20"/>
          <w:szCs w:val="20"/>
          <w:lang w:val="en-US"/>
        </w:rPr>
        <w:t xml:space="preserve"> 746 (emphasis in the original), citing </w:t>
      </w:r>
      <w:r w:rsidRPr="00645037">
        <w:rPr>
          <w:rFonts w:ascii="Times New Roman" w:hAnsi="Times New Roman"/>
          <w:i/>
          <w:iCs/>
          <w:sz w:val="20"/>
          <w:szCs w:val="20"/>
          <w:lang w:val="en-US"/>
        </w:rPr>
        <w:t xml:space="preserve">Application of the Convention on the Prevention and Punishment  of the Crime of Genocide (Bosnia and Herzegovina </w:t>
      </w:r>
      <w:r w:rsidRPr="00645037">
        <w:rPr>
          <w:rFonts w:ascii="Times New Roman" w:hAnsi="Times New Roman"/>
          <w:sz w:val="20"/>
          <w:szCs w:val="20"/>
          <w:lang w:val="en-US"/>
        </w:rPr>
        <w:t xml:space="preserve">v. </w:t>
      </w:r>
      <w:r w:rsidRPr="00645037">
        <w:rPr>
          <w:rFonts w:ascii="Times New Roman" w:hAnsi="Times New Roman"/>
          <w:i/>
          <w:iCs/>
          <w:sz w:val="20"/>
          <w:szCs w:val="20"/>
          <w:lang w:val="en-US"/>
        </w:rPr>
        <w:t>Serbia and Montenegro), Judgment, I.C.J. Reports 2007</w:t>
      </w:r>
      <w:r w:rsidRPr="00645037">
        <w:rPr>
          <w:rFonts w:ascii="Times New Roman" w:hAnsi="Times New Roman"/>
          <w:iCs/>
          <w:sz w:val="20"/>
          <w:szCs w:val="20"/>
          <w:lang w:val="en-US"/>
        </w:rPr>
        <w:t xml:space="preserve">, </w:t>
      </w:r>
      <w:r w:rsidRPr="00645037">
        <w:rPr>
          <w:rFonts w:ascii="Times New Roman" w:hAnsi="Times New Roman"/>
          <w:sz w:val="20"/>
          <w:szCs w:val="20"/>
          <w:lang w:val="en-US"/>
        </w:rPr>
        <w:t>p. 43, para. 187.</w:t>
      </w:r>
    </w:p>
  </w:footnote>
  <w:footnote w:id="110">
    <w:p w14:paraId="2D50C3A1" w14:textId="59AEEE32"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lang w:val="en-US"/>
        </w:rPr>
        <w:t>Ibid</w:t>
      </w:r>
      <w:proofErr w:type="gramStart"/>
      <w:r w:rsidRPr="00645037">
        <w:rPr>
          <w:rFonts w:ascii="Times New Roman" w:hAnsi="Times New Roman"/>
          <w:i/>
          <w:sz w:val="20"/>
          <w:szCs w:val="20"/>
          <w:lang w:val="en-US"/>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para. 765.</w:t>
      </w:r>
    </w:p>
  </w:footnote>
  <w:footnote w:id="111">
    <w:p w14:paraId="0E6DCAA9" w14:textId="3DE59190"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lang w:val="en-US"/>
        </w:rPr>
        <w:t>Ibid</w:t>
      </w:r>
      <w:proofErr w:type="gramStart"/>
      <w:r w:rsidRPr="00645037">
        <w:rPr>
          <w:rFonts w:ascii="Times New Roman" w:hAnsi="Times New Roman"/>
          <w:i/>
          <w:sz w:val="20"/>
          <w:szCs w:val="20"/>
          <w:lang w:val="en-US"/>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para. </w:t>
      </w:r>
      <w:proofErr w:type="gramStart"/>
      <w:r w:rsidRPr="00645037">
        <w:rPr>
          <w:rFonts w:ascii="Times New Roman" w:hAnsi="Times New Roman"/>
          <w:sz w:val="20"/>
          <w:szCs w:val="20"/>
          <w:lang w:val="en-US"/>
        </w:rPr>
        <w:t xml:space="preserve">764, citing </w:t>
      </w:r>
      <w:r w:rsidRPr="00645037">
        <w:rPr>
          <w:rFonts w:ascii="Times New Roman" w:hAnsi="Times New Roman"/>
          <w:i/>
          <w:sz w:val="20"/>
          <w:szCs w:val="20"/>
          <w:lang w:val="en-US"/>
        </w:rPr>
        <w:t xml:space="preserve">Prosecutor v. </w:t>
      </w:r>
      <w:proofErr w:type="spellStart"/>
      <w:r w:rsidRPr="00645037">
        <w:rPr>
          <w:rFonts w:ascii="Times New Roman" w:hAnsi="Times New Roman"/>
          <w:i/>
          <w:sz w:val="20"/>
          <w:szCs w:val="20"/>
          <w:lang w:val="en-US"/>
        </w:rPr>
        <w:t>Blagojević</w:t>
      </w:r>
      <w:proofErr w:type="spellEnd"/>
      <w:r w:rsidRPr="00645037">
        <w:rPr>
          <w:rFonts w:ascii="Times New Roman" w:hAnsi="Times New Roman"/>
          <w:i/>
          <w:sz w:val="20"/>
          <w:szCs w:val="20"/>
          <w:lang w:val="en-US"/>
        </w:rPr>
        <w:t xml:space="preserve"> and </w:t>
      </w:r>
      <w:proofErr w:type="spellStart"/>
      <w:r w:rsidRPr="00645037">
        <w:rPr>
          <w:rFonts w:ascii="Times New Roman" w:hAnsi="Times New Roman"/>
          <w:i/>
          <w:sz w:val="20"/>
          <w:szCs w:val="20"/>
          <w:lang w:val="en-US"/>
        </w:rPr>
        <w:t>Jokić</w:t>
      </w:r>
      <w:proofErr w:type="spellEnd"/>
      <w:r w:rsidRPr="00645037">
        <w:rPr>
          <w:rFonts w:ascii="Times New Roman" w:hAnsi="Times New Roman"/>
          <w:i/>
          <w:sz w:val="20"/>
          <w:szCs w:val="20"/>
          <w:lang w:val="en-US"/>
        </w:rPr>
        <w:t xml:space="preserve"> </w:t>
      </w:r>
      <w:r w:rsidRPr="00645037">
        <w:rPr>
          <w:rFonts w:ascii="Times New Roman" w:hAnsi="Times New Roman"/>
          <w:sz w:val="20"/>
          <w:szCs w:val="20"/>
          <w:lang w:val="en-US"/>
        </w:rPr>
        <w:t>(IT-02-60-T), Judgment, 17 January 2005.</w:t>
      </w:r>
      <w:proofErr w:type="gramEnd"/>
    </w:p>
  </w:footnote>
  <w:footnote w:id="112">
    <w:p w14:paraId="250480B3" w14:textId="610EA6A4"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lang w:val="en-US"/>
        </w:rPr>
        <w:t>Ibid</w:t>
      </w:r>
      <w:proofErr w:type="gramStart"/>
      <w:r w:rsidRPr="00645037">
        <w:rPr>
          <w:rFonts w:ascii="Times New Roman" w:hAnsi="Times New Roman"/>
          <w:i/>
          <w:sz w:val="20"/>
          <w:szCs w:val="20"/>
          <w:lang w:val="en-US"/>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para. 764.</w:t>
      </w:r>
    </w:p>
  </w:footnote>
  <w:footnote w:id="113">
    <w:p w14:paraId="38CA1B8F" w14:textId="7F4F51E6"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gramStart"/>
      <w:r w:rsidRPr="00645037">
        <w:rPr>
          <w:rFonts w:ascii="Times New Roman" w:hAnsi="Times New Roman"/>
          <w:i/>
          <w:sz w:val="20"/>
          <w:szCs w:val="20"/>
          <w:lang w:val="en-US"/>
        </w:rPr>
        <w:t xml:space="preserve">Prosecutor v. </w:t>
      </w:r>
      <w:proofErr w:type="spellStart"/>
      <w:r w:rsidRPr="00645037">
        <w:rPr>
          <w:rFonts w:ascii="Times New Roman" w:hAnsi="Times New Roman"/>
          <w:i/>
          <w:sz w:val="20"/>
          <w:szCs w:val="20"/>
          <w:lang w:val="en-US"/>
        </w:rPr>
        <w:t>Blagojević</w:t>
      </w:r>
      <w:proofErr w:type="spellEnd"/>
      <w:r w:rsidRPr="00645037">
        <w:rPr>
          <w:rFonts w:ascii="Times New Roman" w:hAnsi="Times New Roman"/>
          <w:i/>
          <w:sz w:val="20"/>
          <w:szCs w:val="20"/>
          <w:lang w:val="en-US"/>
        </w:rPr>
        <w:t xml:space="preserve"> and </w:t>
      </w:r>
      <w:proofErr w:type="spellStart"/>
      <w:r w:rsidRPr="00645037">
        <w:rPr>
          <w:rFonts w:ascii="Times New Roman" w:hAnsi="Times New Roman"/>
          <w:i/>
          <w:sz w:val="20"/>
          <w:szCs w:val="20"/>
          <w:lang w:val="en-US"/>
        </w:rPr>
        <w:t>Jokić</w:t>
      </w:r>
      <w:proofErr w:type="spellEnd"/>
      <w:r w:rsidRPr="00645037">
        <w:rPr>
          <w:rFonts w:ascii="Times New Roman" w:hAnsi="Times New Roman"/>
          <w:i/>
          <w:sz w:val="20"/>
          <w:szCs w:val="20"/>
          <w:lang w:val="en-US"/>
        </w:rPr>
        <w:t xml:space="preserve"> </w:t>
      </w:r>
      <w:r w:rsidRPr="00645037">
        <w:rPr>
          <w:rFonts w:ascii="Times New Roman" w:hAnsi="Times New Roman"/>
          <w:sz w:val="20"/>
          <w:szCs w:val="20"/>
          <w:lang w:val="en-US"/>
        </w:rPr>
        <w:t>(IT-02-60-A), Judgment,</w:t>
      </w:r>
      <w:r w:rsidRPr="00645037">
        <w:rPr>
          <w:rFonts w:ascii="Times New Roman" w:hAnsi="Times New Roman"/>
          <w:i/>
          <w:sz w:val="20"/>
          <w:szCs w:val="20"/>
          <w:lang w:val="en-US"/>
        </w:rPr>
        <w:t xml:space="preserve"> </w:t>
      </w:r>
      <w:r w:rsidRPr="00645037">
        <w:rPr>
          <w:rFonts w:ascii="Times New Roman" w:hAnsi="Times New Roman"/>
          <w:sz w:val="20"/>
          <w:szCs w:val="20"/>
          <w:lang w:val="en-US"/>
        </w:rPr>
        <w:t>9 May 2007, para.</w:t>
      </w:r>
      <w:proofErr w:type="gramEnd"/>
      <w:r w:rsidRPr="00645037">
        <w:rPr>
          <w:rFonts w:ascii="Times New Roman" w:hAnsi="Times New Roman"/>
          <w:sz w:val="20"/>
          <w:szCs w:val="20"/>
          <w:lang w:val="en-US"/>
        </w:rPr>
        <w:t xml:space="preserve"> 123. Note that this judgment was issued several weeks after the February 2007 judgment of the International Court of </w:t>
      </w:r>
      <w:proofErr w:type="spellStart"/>
      <w:r w:rsidRPr="00645037">
        <w:rPr>
          <w:rFonts w:ascii="Times New Roman" w:hAnsi="Times New Roman"/>
          <w:sz w:val="20"/>
          <w:szCs w:val="20"/>
          <w:lang w:val="en-US"/>
        </w:rPr>
        <w:t>Jusitce</w:t>
      </w:r>
      <w:proofErr w:type="spellEnd"/>
      <w:r w:rsidRPr="00645037">
        <w:rPr>
          <w:rFonts w:ascii="Times New Roman" w:hAnsi="Times New Roman"/>
          <w:sz w:val="20"/>
          <w:szCs w:val="20"/>
          <w:lang w:val="en-US"/>
        </w:rPr>
        <w:t>. The judgment is listed as an authority at the end of the Appeals Chamber’s judgment but it is not in fact cited anywhere in the reasons of the Appeals Chamber.</w:t>
      </w:r>
    </w:p>
  </w:footnote>
  <w:footnote w:id="114">
    <w:p w14:paraId="3C901032"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lang w:val="en-US"/>
        </w:rPr>
        <w:t xml:space="preserve">Prosecutor v. </w:t>
      </w:r>
      <w:proofErr w:type="spellStart"/>
      <w:r w:rsidRPr="00645037">
        <w:rPr>
          <w:rFonts w:ascii="Times New Roman" w:hAnsi="Times New Roman"/>
          <w:i/>
          <w:sz w:val="20"/>
          <w:szCs w:val="20"/>
          <w:lang w:val="en-US"/>
        </w:rPr>
        <w:t>Blagojević</w:t>
      </w:r>
      <w:proofErr w:type="spellEnd"/>
      <w:r w:rsidRPr="00645037">
        <w:rPr>
          <w:rFonts w:ascii="Times New Roman" w:hAnsi="Times New Roman"/>
          <w:i/>
          <w:sz w:val="20"/>
          <w:szCs w:val="20"/>
          <w:lang w:val="en-US"/>
        </w:rPr>
        <w:t xml:space="preserve"> and </w:t>
      </w:r>
      <w:proofErr w:type="spellStart"/>
      <w:r w:rsidRPr="00645037">
        <w:rPr>
          <w:rFonts w:ascii="Times New Roman" w:hAnsi="Times New Roman"/>
          <w:i/>
          <w:sz w:val="20"/>
          <w:szCs w:val="20"/>
          <w:lang w:val="en-US"/>
        </w:rPr>
        <w:t>Jokić</w:t>
      </w:r>
      <w:proofErr w:type="spellEnd"/>
      <w:r w:rsidRPr="00645037">
        <w:rPr>
          <w:rFonts w:ascii="Times New Roman" w:hAnsi="Times New Roman"/>
          <w:i/>
          <w:sz w:val="20"/>
          <w:szCs w:val="20"/>
          <w:lang w:val="en-US"/>
        </w:rPr>
        <w:t xml:space="preserve"> </w:t>
      </w:r>
      <w:r w:rsidRPr="00645037">
        <w:rPr>
          <w:rFonts w:ascii="Times New Roman" w:hAnsi="Times New Roman"/>
          <w:sz w:val="20"/>
          <w:szCs w:val="20"/>
          <w:lang w:val="en-US"/>
        </w:rPr>
        <w:t xml:space="preserve">(IT-02-60-A), Partly Dissenting Opinion of Judge </w:t>
      </w:r>
      <w:proofErr w:type="spellStart"/>
      <w:r w:rsidRPr="00645037">
        <w:rPr>
          <w:rFonts w:ascii="Times New Roman" w:hAnsi="Times New Roman"/>
          <w:sz w:val="20"/>
          <w:szCs w:val="20"/>
          <w:lang w:val="en-US"/>
        </w:rPr>
        <w:t>Shahabuddeen</w:t>
      </w:r>
      <w:proofErr w:type="spellEnd"/>
      <w:r w:rsidRPr="00645037">
        <w:rPr>
          <w:rFonts w:ascii="Times New Roman" w:hAnsi="Times New Roman"/>
          <w:sz w:val="20"/>
          <w:szCs w:val="20"/>
          <w:lang w:val="en-US"/>
        </w:rPr>
        <w:t>,</w:t>
      </w:r>
      <w:r w:rsidRPr="00645037">
        <w:rPr>
          <w:rFonts w:ascii="Times New Roman" w:hAnsi="Times New Roman"/>
          <w:i/>
          <w:sz w:val="20"/>
          <w:szCs w:val="20"/>
          <w:lang w:val="en-US"/>
        </w:rPr>
        <w:t xml:space="preserve"> </w:t>
      </w:r>
      <w:r w:rsidRPr="00645037">
        <w:rPr>
          <w:rFonts w:ascii="Times New Roman" w:hAnsi="Times New Roman"/>
          <w:sz w:val="20"/>
          <w:szCs w:val="20"/>
          <w:lang w:val="en-US"/>
        </w:rPr>
        <w:t>9 May 2007.</w:t>
      </w:r>
    </w:p>
  </w:footnote>
  <w:footnote w:id="115">
    <w:p w14:paraId="7DCA206F"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gramStart"/>
      <w:r w:rsidRPr="00645037">
        <w:rPr>
          <w:rFonts w:ascii="Times New Roman" w:hAnsi="Times New Roman"/>
          <w:i/>
          <w:sz w:val="20"/>
          <w:szCs w:val="20"/>
          <w:lang w:val="en-US"/>
        </w:rPr>
        <w:t xml:space="preserve">Prosecutor v. </w:t>
      </w:r>
      <w:proofErr w:type="spellStart"/>
      <w:r w:rsidRPr="00645037">
        <w:rPr>
          <w:rFonts w:ascii="Times New Roman" w:hAnsi="Times New Roman"/>
          <w:i/>
          <w:sz w:val="20"/>
          <w:szCs w:val="20"/>
          <w:lang w:val="en-US"/>
        </w:rPr>
        <w:t>Tolimir</w:t>
      </w:r>
      <w:proofErr w:type="spellEnd"/>
      <w:r w:rsidRPr="00645037">
        <w:rPr>
          <w:rFonts w:ascii="Times New Roman" w:hAnsi="Times New Roman"/>
          <w:i/>
          <w:sz w:val="20"/>
          <w:szCs w:val="20"/>
          <w:lang w:val="en-US"/>
        </w:rPr>
        <w:t xml:space="preserve"> (</w:t>
      </w:r>
      <w:r w:rsidRPr="00645037">
        <w:rPr>
          <w:rFonts w:ascii="Times New Roman" w:hAnsi="Times New Roman"/>
          <w:sz w:val="20"/>
          <w:szCs w:val="20"/>
          <w:lang w:val="en-US"/>
        </w:rPr>
        <w:t>IT-05-88/2-T), Judgment, 12 December 2012, para.</w:t>
      </w:r>
      <w:proofErr w:type="gramEnd"/>
      <w:r w:rsidRPr="00645037">
        <w:rPr>
          <w:rFonts w:ascii="Times New Roman" w:hAnsi="Times New Roman"/>
          <w:sz w:val="20"/>
          <w:szCs w:val="20"/>
          <w:lang w:val="en-US"/>
        </w:rPr>
        <w:t xml:space="preserve"> 766.</w:t>
      </w:r>
    </w:p>
  </w:footnote>
  <w:footnote w:id="116">
    <w:p w14:paraId="4E4B2D19" w14:textId="69D9F106"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lang w:val="en-US"/>
        </w:rPr>
        <w:t>Ibid</w:t>
      </w:r>
      <w:proofErr w:type="gramStart"/>
      <w:r w:rsidRPr="00645037">
        <w:rPr>
          <w:rFonts w:ascii="Times New Roman" w:hAnsi="Times New Roman"/>
          <w:i/>
          <w:sz w:val="20"/>
          <w:szCs w:val="20"/>
          <w:lang w:val="en-US"/>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para. 773.</w:t>
      </w:r>
    </w:p>
  </w:footnote>
  <w:footnote w:id="117">
    <w:p w14:paraId="350DEBC7"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gramStart"/>
      <w:r w:rsidRPr="00645037">
        <w:rPr>
          <w:rFonts w:ascii="Times New Roman" w:hAnsi="Times New Roman"/>
          <w:i/>
          <w:sz w:val="20"/>
          <w:szCs w:val="20"/>
          <w:lang w:val="en-US"/>
        </w:rPr>
        <w:t xml:space="preserve">Prosecutor v. </w:t>
      </w:r>
      <w:proofErr w:type="spellStart"/>
      <w:r w:rsidRPr="00645037">
        <w:rPr>
          <w:rFonts w:ascii="Times New Roman" w:hAnsi="Times New Roman"/>
          <w:i/>
          <w:sz w:val="20"/>
          <w:szCs w:val="20"/>
          <w:lang w:val="en-US"/>
        </w:rPr>
        <w:t>Tolimir</w:t>
      </w:r>
      <w:proofErr w:type="spellEnd"/>
      <w:r w:rsidRPr="00645037">
        <w:rPr>
          <w:rFonts w:ascii="Times New Roman" w:hAnsi="Times New Roman"/>
          <w:i/>
          <w:sz w:val="20"/>
          <w:szCs w:val="20"/>
          <w:lang w:val="en-US"/>
        </w:rPr>
        <w:t xml:space="preserve"> (</w:t>
      </w:r>
      <w:r w:rsidRPr="00645037">
        <w:rPr>
          <w:rFonts w:ascii="Times New Roman" w:hAnsi="Times New Roman"/>
          <w:sz w:val="20"/>
          <w:szCs w:val="20"/>
          <w:lang w:val="en-US"/>
        </w:rPr>
        <w:t>IT-05-88/2-T), Judgment, 12 December 2012, para.</w:t>
      </w:r>
      <w:proofErr w:type="gramEnd"/>
      <w:r w:rsidRPr="00645037">
        <w:rPr>
          <w:rFonts w:ascii="Times New Roman" w:hAnsi="Times New Roman"/>
          <w:sz w:val="20"/>
          <w:szCs w:val="20"/>
          <w:lang w:val="en-US"/>
        </w:rPr>
        <w:t xml:space="preserve"> 781.</w:t>
      </w:r>
    </w:p>
  </w:footnote>
  <w:footnote w:id="118">
    <w:p w14:paraId="721B0702"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gramStart"/>
      <w:r w:rsidRPr="00645037">
        <w:rPr>
          <w:rFonts w:ascii="Times New Roman" w:hAnsi="Times New Roman"/>
          <w:i/>
          <w:sz w:val="20"/>
          <w:szCs w:val="20"/>
          <w:lang w:val="en-US"/>
        </w:rPr>
        <w:t xml:space="preserve">Prosecutor v. </w:t>
      </w:r>
      <w:proofErr w:type="spellStart"/>
      <w:r w:rsidRPr="00645037">
        <w:rPr>
          <w:rFonts w:ascii="Times New Roman" w:hAnsi="Times New Roman"/>
          <w:i/>
          <w:sz w:val="20"/>
          <w:szCs w:val="20"/>
          <w:lang w:val="en-US"/>
        </w:rPr>
        <w:t>Tolimir</w:t>
      </w:r>
      <w:proofErr w:type="spellEnd"/>
      <w:r w:rsidRPr="00645037">
        <w:rPr>
          <w:rFonts w:ascii="Times New Roman" w:hAnsi="Times New Roman"/>
          <w:i/>
          <w:sz w:val="20"/>
          <w:szCs w:val="20"/>
          <w:lang w:val="en-US"/>
        </w:rPr>
        <w:t xml:space="preserve"> (</w:t>
      </w:r>
      <w:r w:rsidRPr="00645037">
        <w:rPr>
          <w:rFonts w:ascii="Times New Roman" w:hAnsi="Times New Roman"/>
          <w:sz w:val="20"/>
          <w:szCs w:val="20"/>
          <w:lang w:val="en-US"/>
        </w:rPr>
        <w:t>IT-05-88/2-T), Judgment, 12 December 2012, para.</w:t>
      </w:r>
      <w:proofErr w:type="gramEnd"/>
      <w:r w:rsidRPr="00645037">
        <w:rPr>
          <w:rFonts w:ascii="Times New Roman" w:hAnsi="Times New Roman"/>
          <w:sz w:val="20"/>
          <w:szCs w:val="20"/>
          <w:lang w:val="en-US"/>
        </w:rPr>
        <w:t xml:space="preserve"> 782.</w:t>
      </w:r>
    </w:p>
  </w:footnote>
  <w:footnote w:id="119">
    <w:p w14:paraId="11E8D024" w14:textId="77777777"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gramStart"/>
      <w:r w:rsidRPr="00645037">
        <w:rPr>
          <w:rFonts w:ascii="Times New Roman" w:hAnsi="Times New Roman"/>
          <w:i/>
          <w:sz w:val="20"/>
          <w:szCs w:val="20"/>
          <w:lang w:val="en-US"/>
        </w:rPr>
        <w:t xml:space="preserve">Prosecutor v. </w:t>
      </w:r>
      <w:proofErr w:type="spellStart"/>
      <w:r w:rsidRPr="00645037">
        <w:rPr>
          <w:rFonts w:ascii="Times New Roman" w:hAnsi="Times New Roman"/>
          <w:i/>
          <w:sz w:val="20"/>
          <w:szCs w:val="20"/>
          <w:lang w:val="en-US"/>
        </w:rPr>
        <w:t>Tolimir</w:t>
      </w:r>
      <w:proofErr w:type="spellEnd"/>
      <w:r w:rsidRPr="00645037">
        <w:rPr>
          <w:rFonts w:ascii="Times New Roman" w:hAnsi="Times New Roman"/>
          <w:i/>
          <w:sz w:val="20"/>
          <w:szCs w:val="20"/>
          <w:lang w:val="en-US"/>
        </w:rPr>
        <w:t xml:space="preserve"> (</w:t>
      </w:r>
      <w:r w:rsidRPr="00645037">
        <w:rPr>
          <w:rFonts w:ascii="Times New Roman" w:hAnsi="Times New Roman"/>
          <w:sz w:val="20"/>
          <w:szCs w:val="20"/>
          <w:lang w:val="en-US"/>
        </w:rPr>
        <w:t>IT-05-88/2-T), Judgment, 12 December 2012, para.</w:t>
      </w:r>
      <w:proofErr w:type="gramEnd"/>
      <w:r w:rsidRPr="00645037">
        <w:rPr>
          <w:rFonts w:ascii="Times New Roman" w:hAnsi="Times New Roman"/>
          <w:sz w:val="20"/>
          <w:szCs w:val="20"/>
          <w:lang w:val="en-US"/>
        </w:rPr>
        <w:t xml:space="preserve"> 766.</w:t>
      </w:r>
    </w:p>
  </w:footnote>
  <w:footnote w:id="120">
    <w:p w14:paraId="2B85A4A9" w14:textId="4F6A84E0" w:rsidR="00D10D54" w:rsidRPr="00645037" w:rsidRDefault="00D10D54" w:rsidP="00645037">
      <w:pPr>
        <w:pStyle w:val="FootnoteText"/>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hAnsi="Times New Roman"/>
          <w:i/>
          <w:sz w:val="20"/>
          <w:szCs w:val="20"/>
          <w:lang w:val="en-US"/>
        </w:rPr>
        <w:t>Ibid</w:t>
      </w:r>
      <w:proofErr w:type="gramStart"/>
      <w:r w:rsidRPr="00645037">
        <w:rPr>
          <w:rFonts w:ascii="Times New Roman" w:hAnsi="Times New Roman"/>
          <w:i/>
          <w:sz w:val="20"/>
          <w:szCs w:val="20"/>
          <w:lang w:val="en-US"/>
        </w:rPr>
        <w:t>.</w:t>
      </w:r>
      <w:r w:rsidRPr="00645037">
        <w:rPr>
          <w:rFonts w:ascii="Times New Roman" w:hAnsi="Times New Roman"/>
          <w:sz w:val="20"/>
          <w:szCs w:val="20"/>
          <w:lang w:val="en-US"/>
        </w:rPr>
        <w:t>,</w:t>
      </w:r>
      <w:proofErr w:type="gramEnd"/>
      <w:r w:rsidRPr="00645037">
        <w:rPr>
          <w:rFonts w:ascii="Times New Roman" w:hAnsi="Times New Roman"/>
          <w:sz w:val="20"/>
          <w:szCs w:val="20"/>
          <w:lang w:val="en-US"/>
        </w:rPr>
        <w:t xml:space="preserve"> </w:t>
      </w:r>
      <w:proofErr w:type="spellStart"/>
      <w:r w:rsidRPr="00645037">
        <w:rPr>
          <w:rFonts w:ascii="Times New Roman" w:hAnsi="Times New Roman"/>
          <w:sz w:val="20"/>
          <w:szCs w:val="20"/>
          <w:lang w:val="en-US"/>
        </w:rPr>
        <w:t>paras</w:t>
      </w:r>
      <w:proofErr w:type="spellEnd"/>
      <w:r w:rsidRPr="00645037">
        <w:rPr>
          <w:rFonts w:ascii="Times New Roman" w:hAnsi="Times New Roman"/>
          <w:sz w:val="20"/>
          <w:szCs w:val="20"/>
          <w:lang w:val="en-US"/>
        </w:rPr>
        <w:t>. 787-791.</w:t>
      </w:r>
    </w:p>
  </w:footnote>
  <w:footnote w:id="121">
    <w:p w14:paraId="59FC988F" w14:textId="5A0E033B" w:rsidR="00D10D54" w:rsidRPr="00645037" w:rsidRDefault="00D10D54" w:rsidP="00645037">
      <w:pPr>
        <w:widowControl w:val="0"/>
        <w:autoSpaceDE w:val="0"/>
        <w:autoSpaceDN w:val="0"/>
        <w:adjustRightInd w:val="0"/>
        <w:rPr>
          <w:rFonts w:ascii="Times New Roman" w:hAnsi="Times New Roman"/>
          <w:sz w:val="20"/>
          <w:szCs w:val="20"/>
          <w:lang w:val="en-US" w:eastAsia="bg-BG"/>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gramStart"/>
      <w:r w:rsidRPr="00645037">
        <w:rPr>
          <w:rFonts w:ascii="Times New Roman" w:hAnsi="Times New Roman"/>
          <w:i/>
          <w:sz w:val="20"/>
          <w:szCs w:val="20"/>
        </w:rPr>
        <w:t xml:space="preserve">Prosecutor v. </w:t>
      </w:r>
      <w:proofErr w:type="spellStart"/>
      <w:r w:rsidRPr="00645037">
        <w:rPr>
          <w:rFonts w:ascii="Times New Roman" w:hAnsi="Times New Roman"/>
          <w:i/>
          <w:sz w:val="20"/>
          <w:szCs w:val="20"/>
        </w:rPr>
        <w:t>Tolimir</w:t>
      </w:r>
      <w:proofErr w:type="spellEnd"/>
      <w:r w:rsidRPr="00645037">
        <w:rPr>
          <w:rFonts w:ascii="Times New Roman" w:hAnsi="Times New Roman"/>
          <w:i/>
          <w:sz w:val="20"/>
          <w:szCs w:val="20"/>
        </w:rPr>
        <w:t xml:space="preserve"> </w:t>
      </w:r>
      <w:r w:rsidRPr="00645037">
        <w:rPr>
          <w:rFonts w:ascii="Times New Roman" w:hAnsi="Times New Roman"/>
          <w:sz w:val="20"/>
          <w:szCs w:val="20"/>
        </w:rPr>
        <w:t>(</w:t>
      </w:r>
      <w:r w:rsidRPr="00645037">
        <w:rPr>
          <w:rFonts w:ascii="Times New Roman" w:hAnsi="Times New Roman"/>
          <w:sz w:val="20"/>
          <w:szCs w:val="20"/>
          <w:lang w:val="en-US" w:eastAsia="bg-BG"/>
        </w:rPr>
        <w:t>IT-05-88/2-A), Judgment, 8 April 2015, para.</w:t>
      </w:r>
      <w:proofErr w:type="gramEnd"/>
      <w:r w:rsidRPr="00645037">
        <w:rPr>
          <w:rFonts w:ascii="Times New Roman" w:hAnsi="Times New Roman"/>
          <w:sz w:val="20"/>
          <w:szCs w:val="20"/>
          <w:lang w:val="en-US" w:eastAsia="bg-BG"/>
        </w:rPr>
        <w:t xml:space="preserve"> </w:t>
      </w:r>
      <w:r w:rsidRPr="00645037">
        <w:rPr>
          <w:rFonts w:ascii="Times New Roman" w:hAnsi="Times New Roman"/>
          <w:sz w:val="20"/>
          <w:szCs w:val="20"/>
          <w:lang w:val="en-US"/>
        </w:rPr>
        <w:t xml:space="preserve">226. For other references to the </w:t>
      </w:r>
      <w:r w:rsidRPr="00645037">
        <w:rPr>
          <w:rFonts w:ascii="Times New Roman" w:hAnsi="Times New Roman"/>
          <w:i/>
          <w:sz w:val="20"/>
          <w:szCs w:val="20"/>
          <w:lang w:val="en-US"/>
        </w:rPr>
        <w:t xml:space="preserve">Croatia </w:t>
      </w:r>
      <w:r w:rsidRPr="00645037">
        <w:rPr>
          <w:rFonts w:ascii="Times New Roman" w:hAnsi="Times New Roman"/>
          <w:sz w:val="20"/>
          <w:szCs w:val="20"/>
          <w:lang w:val="en-US"/>
        </w:rPr>
        <w:t xml:space="preserve">v. </w:t>
      </w:r>
      <w:r w:rsidRPr="00645037">
        <w:rPr>
          <w:rFonts w:ascii="Times New Roman" w:hAnsi="Times New Roman"/>
          <w:i/>
          <w:sz w:val="20"/>
          <w:szCs w:val="20"/>
          <w:lang w:val="en-US"/>
        </w:rPr>
        <w:t xml:space="preserve">Serbia </w:t>
      </w:r>
      <w:r w:rsidRPr="00645037">
        <w:rPr>
          <w:rFonts w:ascii="Times New Roman" w:hAnsi="Times New Roman"/>
          <w:sz w:val="20"/>
          <w:szCs w:val="20"/>
          <w:lang w:val="en-US"/>
        </w:rPr>
        <w:t xml:space="preserve">judgment, see: </w:t>
      </w:r>
      <w:proofErr w:type="spellStart"/>
      <w:r w:rsidRPr="00645037">
        <w:rPr>
          <w:rFonts w:ascii="Times New Roman" w:hAnsi="Times New Roman"/>
          <w:sz w:val="20"/>
          <w:szCs w:val="20"/>
          <w:lang w:val="en-US"/>
        </w:rPr>
        <w:t>paras</w:t>
      </w:r>
      <w:proofErr w:type="spellEnd"/>
      <w:r w:rsidRPr="00645037">
        <w:rPr>
          <w:rFonts w:ascii="Times New Roman" w:hAnsi="Times New Roman"/>
          <w:sz w:val="20"/>
          <w:szCs w:val="20"/>
          <w:lang w:val="en-US"/>
        </w:rPr>
        <w:t xml:space="preserve">. </w:t>
      </w:r>
      <w:proofErr w:type="gramStart"/>
      <w:r w:rsidRPr="00645037">
        <w:rPr>
          <w:rFonts w:ascii="Times New Roman" w:hAnsi="Times New Roman"/>
          <w:sz w:val="20"/>
          <w:szCs w:val="20"/>
          <w:lang w:val="en-US"/>
        </w:rPr>
        <w:t>203 (fn. 580), 230, 231, 233 (</w:t>
      </w:r>
      <w:proofErr w:type="spellStart"/>
      <w:r w:rsidRPr="00645037">
        <w:rPr>
          <w:rFonts w:ascii="Times New Roman" w:hAnsi="Times New Roman"/>
          <w:sz w:val="20"/>
          <w:szCs w:val="20"/>
          <w:lang w:val="en-US"/>
        </w:rPr>
        <w:t>fns</w:t>
      </w:r>
      <w:proofErr w:type="spellEnd"/>
      <w:r w:rsidRPr="00645037">
        <w:rPr>
          <w:rFonts w:ascii="Times New Roman" w:hAnsi="Times New Roman"/>
          <w:sz w:val="20"/>
          <w:szCs w:val="20"/>
          <w:lang w:val="en-US"/>
        </w:rPr>
        <w:t>. 670, 671, 673, 675), 234 (fn. 678), 246 (fn. 724), 247 (fn. 729), 754 (fn. 751).</w:t>
      </w:r>
      <w:proofErr w:type="gramEnd"/>
    </w:p>
  </w:footnote>
  <w:footnote w:id="122">
    <w:p w14:paraId="410AA7FC" w14:textId="77777777" w:rsidR="00D10D54" w:rsidRPr="00645037" w:rsidRDefault="00D10D54" w:rsidP="00645037">
      <w:pPr>
        <w:widowControl w:val="0"/>
        <w:autoSpaceDE w:val="0"/>
        <w:autoSpaceDN w:val="0"/>
        <w:adjustRightInd w:val="0"/>
        <w:jc w:val="both"/>
        <w:rPr>
          <w:rFonts w:ascii="Times New Roman" w:hAnsi="Times New Roman"/>
          <w:sz w:val="20"/>
          <w:szCs w:val="20"/>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proofErr w:type="spellStart"/>
      <w:r w:rsidRPr="00645037">
        <w:rPr>
          <w:rFonts w:ascii="Times New Roman" w:hAnsi="Times New Roman"/>
          <w:bCs/>
          <w:i/>
          <w:sz w:val="20"/>
          <w:szCs w:val="20"/>
          <w:lang w:val="en-US"/>
        </w:rPr>
        <w:t>Ahmadou</w:t>
      </w:r>
      <w:proofErr w:type="spellEnd"/>
      <w:r w:rsidRPr="00645037">
        <w:rPr>
          <w:rFonts w:ascii="Times New Roman" w:hAnsi="Times New Roman"/>
          <w:bCs/>
          <w:i/>
          <w:sz w:val="20"/>
          <w:szCs w:val="20"/>
          <w:lang w:val="en-US"/>
        </w:rPr>
        <w:t xml:space="preserve"> </w:t>
      </w:r>
      <w:proofErr w:type="spellStart"/>
      <w:r w:rsidRPr="00645037">
        <w:rPr>
          <w:rFonts w:ascii="Times New Roman" w:hAnsi="Times New Roman"/>
          <w:bCs/>
          <w:i/>
          <w:sz w:val="20"/>
          <w:szCs w:val="20"/>
          <w:lang w:val="en-US"/>
        </w:rPr>
        <w:t>Sadio</w:t>
      </w:r>
      <w:proofErr w:type="spellEnd"/>
      <w:r w:rsidRPr="00645037">
        <w:rPr>
          <w:rFonts w:ascii="Times New Roman" w:hAnsi="Times New Roman"/>
          <w:bCs/>
          <w:i/>
          <w:sz w:val="20"/>
          <w:szCs w:val="20"/>
          <w:lang w:val="en-US"/>
        </w:rPr>
        <w:t xml:space="preserve"> </w:t>
      </w:r>
      <w:proofErr w:type="spellStart"/>
      <w:r w:rsidRPr="00645037">
        <w:rPr>
          <w:rFonts w:ascii="Times New Roman" w:hAnsi="Times New Roman"/>
          <w:bCs/>
          <w:i/>
          <w:sz w:val="20"/>
          <w:szCs w:val="20"/>
          <w:lang w:val="en-US"/>
        </w:rPr>
        <w:t>Diallo</w:t>
      </w:r>
      <w:proofErr w:type="spellEnd"/>
      <w:r w:rsidRPr="00645037">
        <w:rPr>
          <w:rFonts w:ascii="Times New Roman" w:hAnsi="Times New Roman"/>
          <w:bCs/>
          <w:i/>
          <w:sz w:val="20"/>
          <w:szCs w:val="20"/>
          <w:lang w:val="en-US"/>
        </w:rPr>
        <w:t xml:space="preserve"> (Republic of Guinea v. Democratic Republic of the Congo)</w:t>
      </w:r>
      <w:r w:rsidRPr="00645037">
        <w:rPr>
          <w:rFonts w:ascii="Times New Roman" w:hAnsi="Times New Roman"/>
          <w:bCs/>
          <w:sz w:val="20"/>
          <w:szCs w:val="20"/>
          <w:lang w:val="en-US"/>
        </w:rPr>
        <w:t>, 30 November 2010,</w:t>
      </w:r>
      <w:r w:rsidRPr="00645037">
        <w:rPr>
          <w:rFonts w:ascii="Times New Roman" w:hAnsi="Times New Roman"/>
          <w:sz w:val="20"/>
          <w:szCs w:val="20"/>
          <w:lang w:val="en-US"/>
        </w:rPr>
        <w:t xml:space="preserve"> para. 66.</w:t>
      </w:r>
    </w:p>
  </w:footnote>
  <w:footnote w:id="123">
    <w:p w14:paraId="0D9D6692" w14:textId="6F9974B6" w:rsidR="00645037" w:rsidRPr="00645037" w:rsidRDefault="00645037" w:rsidP="00645037">
      <w:pPr>
        <w:pStyle w:val="FootnoteText"/>
        <w:rPr>
          <w:rFonts w:ascii="Times New Roman" w:hAnsi="Times New Roman"/>
          <w:sz w:val="20"/>
          <w:szCs w:val="20"/>
          <w:lang w:val="fr-FR"/>
        </w:rPr>
      </w:pPr>
      <w:r w:rsidRPr="00645037">
        <w:rPr>
          <w:rStyle w:val="FootnoteReference"/>
          <w:rFonts w:ascii="Times New Roman" w:hAnsi="Times New Roman"/>
          <w:sz w:val="20"/>
          <w:szCs w:val="20"/>
        </w:rPr>
        <w:footnoteRef/>
      </w:r>
      <w:r w:rsidRPr="00645037">
        <w:rPr>
          <w:rFonts w:ascii="Times New Roman" w:hAnsi="Times New Roman"/>
          <w:sz w:val="20"/>
          <w:szCs w:val="20"/>
        </w:rPr>
        <w:t xml:space="preserve"> </w:t>
      </w:r>
      <w:r w:rsidRPr="00645037">
        <w:rPr>
          <w:rFonts w:ascii="Times New Roman" w:eastAsia="Calibri" w:hAnsi="Times New Roman"/>
          <w:i/>
          <w:sz w:val="20"/>
          <w:szCs w:val="20"/>
        </w:rPr>
        <w:t>Reservations to the Convention on the Prevention and Punishment of the Crime of Genocide, Advisory Opinion, I.C.J. Reports 1951</w:t>
      </w:r>
      <w:r w:rsidRPr="00645037">
        <w:rPr>
          <w:rFonts w:ascii="Times New Roman" w:eastAsia="Calibri" w:hAnsi="Times New Roman"/>
          <w:sz w:val="20"/>
          <w:szCs w:val="20"/>
        </w:rPr>
        <w:t>, p. 23</w:t>
      </w:r>
      <w:r w:rsidRPr="00645037">
        <w:rPr>
          <w:rFonts w:ascii="Times New Roman" w:eastAsia="Calibri" w:hAnsi="Times New Roman"/>
          <w:sz w:val="20"/>
          <w:szCs w:val="20"/>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9FD210" w14:textId="77777777" w:rsidR="00D10D54" w:rsidRPr="005E687E" w:rsidRDefault="00D10D54" w:rsidP="00FE78FF">
    <w:pPr>
      <w:pStyle w:val="Header"/>
      <w:framePr w:wrap="around" w:vAnchor="text" w:hAnchor="margin" w:xAlign="right" w:y="1"/>
      <w:rPr>
        <w:rStyle w:val="PageNumber"/>
        <w:b/>
        <w:sz w:val="18"/>
        <w:szCs w:val="18"/>
      </w:rPr>
    </w:pPr>
    <w:r w:rsidRPr="005E687E">
      <w:rPr>
        <w:rStyle w:val="PageNumber"/>
        <w:b/>
        <w:sz w:val="18"/>
        <w:szCs w:val="18"/>
      </w:rPr>
      <w:fldChar w:fldCharType="begin"/>
    </w:r>
    <w:r w:rsidRPr="005E687E">
      <w:rPr>
        <w:rStyle w:val="PageNumber"/>
        <w:b/>
        <w:sz w:val="18"/>
        <w:szCs w:val="18"/>
      </w:rPr>
      <w:instrText xml:space="preserve">PAGE  </w:instrText>
    </w:r>
    <w:r w:rsidRPr="005E687E">
      <w:rPr>
        <w:rStyle w:val="PageNumber"/>
        <w:b/>
        <w:sz w:val="18"/>
        <w:szCs w:val="18"/>
      </w:rPr>
      <w:fldChar w:fldCharType="separate"/>
    </w:r>
    <w:r>
      <w:rPr>
        <w:rStyle w:val="PageNumber"/>
        <w:b/>
        <w:noProof/>
        <w:sz w:val="18"/>
        <w:szCs w:val="18"/>
      </w:rPr>
      <w:t>2</w:t>
    </w:r>
    <w:r w:rsidRPr="005E687E">
      <w:rPr>
        <w:rStyle w:val="PageNumber"/>
        <w:b/>
        <w:sz w:val="18"/>
        <w:szCs w:val="18"/>
      </w:rPr>
      <w:fldChar w:fldCharType="end"/>
    </w:r>
  </w:p>
  <w:p w14:paraId="0C684294" w14:textId="7726B309" w:rsidR="00D10D54" w:rsidRPr="005E687E" w:rsidRDefault="00D10D54" w:rsidP="005E687E">
    <w:pPr>
      <w:pStyle w:val="Header"/>
      <w:ind w:right="360"/>
      <w:rPr>
        <w:b/>
        <w:sz w:val="18"/>
        <w:szCs w:val="18"/>
      </w:rPr>
    </w:pPr>
    <w:r w:rsidRPr="005E687E">
      <w:rPr>
        <w:b/>
        <w:sz w:val="18"/>
        <w:szCs w:val="18"/>
      </w:rPr>
      <w:t>Genocide and International Tribunals – Schabas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4A7400" w14:textId="77777777" w:rsidR="00D10D54" w:rsidRPr="0042210C" w:rsidRDefault="00D10D54" w:rsidP="00FE78FF">
    <w:pPr>
      <w:pStyle w:val="Header"/>
      <w:framePr w:wrap="around" w:vAnchor="text" w:hAnchor="margin" w:xAlign="right" w:y="1"/>
      <w:rPr>
        <w:rStyle w:val="PageNumber"/>
        <w:b/>
        <w:sz w:val="18"/>
        <w:szCs w:val="18"/>
      </w:rPr>
    </w:pPr>
    <w:r w:rsidRPr="0042210C">
      <w:rPr>
        <w:rStyle w:val="PageNumber"/>
        <w:b/>
        <w:sz w:val="18"/>
        <w:szCs w:val="18"/>
      </w:rPr>
      <w:fldChar w:fldCharType="begin"/>
    </w:r>
    <w:r w:rsidRPr="0042210C">
      <w:rPr>
        <w:rStyle w:val="PageNumber"/>
        <w:b/>
        <w:sz w:val="18"/>
        <w:szCs w:val="18"/>
      </w:rPr>
      <w:instrText xml:space="preserve">PAGE  </w:instrText>
    </w:r>
    <w:r w:rsidRPr="0042210C">
      <w:rPr>
        <w:rStyle w:val="PageNumber"/>
        <w:b/>
        <w:sz w:val="18"/>
        <w:szCs w:val="18"/>
      </w:rPr>
      <w:fldChar w:fldCharType="separate"/>
    </w:r>
    <w:r w:rsidR="006652E5">
      <w:rPr>
        <w:rStyle w:val="PageNumber"/>
        <w:b/>
        <w:noProof/>
        <w:sz w:val="18"/>
        <w:szCs w:val="18"/>
      </w:rPr>
      <w:t>30</w:t>
    </w:r>
    <w:r w:rsidRPr="0042210C">
      <w:rPr>
        <w:rStyle w:val="PageNumber"/>
        <w:b/>
        <w:sz w:val="18"/>
        <w:szCs w:val="18"/>
      </w:rPr>
      <w:fldChar w:fldCharType="end"/>
    </w:r>
  </w:p>
  <w:p w14:paraId="1AC7E602" w14:textId="0777463A" w:rsidR="00D10D54" w:rsidRPr="0042210C" w:rsidRDefault="00D10D54" w:rsidP="005E687E">
    <w:pPr>
      <w:pStyle w:val="Header"/>
      <w:ind w:right="360"/>
      <w:rPr>
        <w:b/>
        <w:sz w:val="18"/>
        <w:szCs w:val="18"/>
      </w:rPr>
    </w:pPr>
    <w:r w:rsidRPr="0042210C">
      <w:rPr>
        <w:b/>
        <w:sz w:val="18"/>
        <w:szCs w:val="18"/>
      </w:rPr>
      <w:t>Genocide and the International Court of Justice - Schabas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4CEA08" w14:textId="77777777" w:rsidR="00D10D54" w:rsidRDefault="00D10D54">
    <w:pPr>
      <w:pStyle w:val="Header"/>
    </w:pPr>
    <w:r>
      <w:rPr>
        <w:noProof/>
        <w:lang w:val="bg-BG" w:eastAsia="bg-BG"/>
      </w:rPr>
      <w:pict w14:anchorId="3B17076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38.8pt;height:146.25pt;rotation:315;z-index:-251658752;mso-wrap-edited:f;mso-position-horizontal:center;mso-position-horizontal-relative:margin;mso-position-vertical:center;mso-position-vertical-relative:margin" fillcolor="silver" stroked="f">
          <v:textpath style="font-family:&quot;Stencil&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1EF52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F0620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7902D5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8A8340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00488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4303B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E3846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52ECCB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E66C0E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31C029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2910"/>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70747BC"/>
    <w:multiLevelType w:val="hybridMultilevel"/>
    <w:tmpl w:val="8D600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6254A0"/>
    <w:multiLevelType w:val="hybridMultilevel"/>
    <w:tmpl w:val="D8CEFFB0"/>
    <w:lvl w:ilvl="0" w:tplc="00010409">
      <w:start w:val="1"/>
      <w:numFmt w:val="bullet"/>
      <w:lvlText w:val=""/>
      <w:lvlJc w:val="left"/>
      <w:pPr>
        <w:tabs>
          <w:tab w:val="num" w:pos="720"/>
        </w:tabs>
        <w:ind w:left="720" w:hanging="360"/>
      </w:pPr>
      <w:rPr>
        <w:rFonts w:ascii="Symbol" w:hAnsi="Symbol" w:hint="default"/>
      </w:rPr>
    </w:lvl>
    <w:lvl w:ilvl="1" w:tplc="6BDE8DBA">
      <w:start w:val="1"/>
      <w:numFmt w:val="lowerLetter"/>
      <w:lvlText w:val="%2)"/>
      <w:lvlJc w:val="right"/>
      <w:pPr>
        <w:tabs>
          <w:tab w:val="num" w:pos="1080"/>
        </w:tabs>
        <w:ind w:left="1080" w:hanging="360"/>
      </w:pPr>
      <w:rPr>
        <w:rFonts w:cs="Times New Roman" w:hint="default"/>
      </w:rPr>
    </w:lvl>
    <w:lvl w:ilvl="2" w:tplc="90B876A6">
      <w:start w:val="1"/>
      <w:numFmt w:val="lowerLetter"/>
      <w:lvlText w:val="(%3)"/>
      <w:lvlJc w:val="left"/>
      <w:pPr>
        <w:ind w:left="1080" w:hanging="360"/>
      </w:pPr>
      <w:rPr>
        <w:rFonts w:ascii="Times New Roman" w:eastAsia="Times New Roman" w:hAnsi="Times New Roman" w:cs="Times New Roman"/>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5CCD61B4"/>
    <w:multiLevelType w:val="hybridMultilevel"/>
    <w:tmpl w:val="0C0EF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85776D"/>
    <w:multiLevelType w:val="hybridMultilevel"/>
    <w:tmpl w:val="65FA8942"/>
    <w:lvl w:ilvl="0" w:tplc="52F6234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oNotTrackMoves/>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577"/>
    <w:rsid w:val="00013B42"/>
    <w:rsid w:val="00017039"/>
    <w:rsid w:val="00021FD0"/>
    <w:rsid w:val="000257DE"/>
    <w:rsid w:val="00026C0F"/>
    <w:rsid w:val="00033140"/>
    <w:rsid w:val="000363BB"/>
    <w:rsid w:val="00043B7C"/>
    <w:rsid w:val="00044FC6"/>
    <w:rsid w:val="00055B2E"/>
    <w:rsid w:val="00062F35"/>
    <w:rsid w:val="00064B0C"/>
    <w:rsid w:val="00073371"/>
    <w:rsid w:val="00076E3F"/>
    <w:rsid w:val="0008084D"/>
    <w:rsid w:val="000863D5"/>
    <w:rsid w:val="00086D29"/>
    <w:rsid w:val="000A1604"/>
    <w:rsid w:val="000A58D5"/>
    <w:rsid w:val="000A59C1"/>
    <w:rsid w:val="000C5D2A"/>
    <w:rsid w:val="000D4379"/>
    <w:rsid w:val="000E1B5F"/>
    <w:rsid w:val="000E6909"/>
    <w:rsid w:val="001061EB"/>
    <w:rsid w:val="0010648C"/>
    <w:rsid w:val="0010670A"/>
    <w:rsid w:val="00111524"/>
    <w:rsid w:val="0011347E"/>
    <w:rsid w:val="00116A6A"/>
    <w:rsid w:val="00123111"/>
    <w:rsid w:val="00130D0E"/>
    <w:rsid w:val="00132316"/>
    <w:rsid w:val="0014025B"/>
    <w:rsid w:val="00144CFD"/>
    <w:rsid w:val="00145C0A"/>
    <w:rsid w:val="0015237B"/>
    <w:rsid w:val="001528E4"/>
    <w:rsid w:val="001556D2"/>
    <w:rsid w:val="00177749"/>
    <w:rsid w:val="0018119A"/>
    <w:rsid w:val="00187CAA"/>
    <w:rsid w:val="00193585"/>
    <w:rsid w:val="001A01A9"/>
    <w:rsid w:val="001A1981"/>
    <w:rsid w:val="001B26B8"/>
    <w:rsid w:val="001C00F1"/>
    <w:rsid w:val="001D6BBA"/>
    <w:rsid w:val="001D6CAF"/>
    <w:rsid w:val="001F24F0"/>
    <w:rsid w:val="001F4889"/>
    <w:rsid w:val="00204B91"/>
    <w:rsid w:val="00207A26"/>
    <w:rsid w:val="00207C2A"/>
    <w:rsid w:val="002128AD"/>
    <w:rsid w:val="00224E48"/>
    <w:rsid w:val="00225931"/>
    <w:rsid w:val="00226A1A"/>
    <w:rsid w:val="00230602"/>
    <w:rsid w:val="00230914"/>
    <w:rsid w:val="0023663B"/>
    <w:rsid w:val="002369AF"/>
    <w:rsid w:val="00246CB1"/>
    <w:rsid w:val="00247228"/>
    <w:rsid w:val="0025091D"/>
    <w:rsid w:val="00257356"/>
    <w:rsid w:val="0025775D"/>
    <w:rsid w:val="00262C5B"/>
    <w:rsid w:val="00267EA2"/>
    <w:rsid w:val="002730B0"/>
    <w:rsid w:val="00274760"/>
    <w:rsid w:val="00281806"/>
    <w:rsid w:val="00286342"/>
    <w:rsid w:val="00287EC9"/>
    <w:rsid w:val="002908AF"/>
    <w:rsid w:val="00292FC3"/>
    <w:rsid w:val="002A4F78"/>
    <w:rsid w:val="002A68A5"/>
    <w:rsid w:val="002B3C66"/>
    <w:rsid w:val="002B43BC"/>
    <w:rsid w:val="002C02CA"/>
    <w:rsid w:val="002D2EEA"/>
    <w:rsid w:val="002E2F40"/>
    <w:rsid w:val="002E4007"/>
    <w:rsid w:val="002F02C4"/>
    <w:rsid w:val="00300172"/>
    <w:rsid w:val="00306CA6"/>
    <w:rsid w:val="00311DB2"/>
    <w:rsid w:val="00315606"/>
    <w:rsid w:val="00315F73"/>
    <w:rsid w:val="00332FAB"/>
    <w:rsid w:val="0033464C"/>
    <w:rsid w:val="00343B25"/>
    <w:rsid w:val="00344AC5"/>
    <w:rsid w:val="003460A9"/>
    <w:rsid w:val="00360F17"/>
    <w:rsid w:val="00366CE2"/>
    <w:rsid w:val="00367C01"/>
    <w:rsid w:val="00373C00"/>
    <w:rsid w:val="00375321"/>
    <w:rsid w:val="00384F1F"/>
    <w:rsid w:val="00387B1A"/>
    <w:rsid w:val="0039169F"/>
    <w:rsid w:val="00392446"/>
    <w:rsid w:val="0039609C"/>
    <w:rsid w:val="003B00C2"/>
    <w:rsid w:val="003B1ACD"/>
    <w:rsid w:val="003C0CC6"/>
    <w:rsid w:val="003C4D19"/>
    <w:rsid w:val="003C69A2"/>
    <w:rsid w:val="003D1DC3"/>
    <w:rsid w:val="003E4DE8"/>
    <w:rsid w:val="003F5AEB"/>
    <w:rsid w:val="003F6B1A"/>
    <w:rsid w:val="00400AA2"/>
    <w:rsid w:val="00403856"/>
    <w:rsid w:val="0040406E"/>
    <w:rsid w:val="0042210C"/>
    <w:rsid w:val="00425EBF"/>
    <w:rsid w:val="00427F8D"/>
    <w:rsid w:val="00432E69"/>
    <w:rsid w:val="00435272"/>
    <w:rsid w:val="00442018"/>
    <w:rsid w:val="004651CB"/>
    <w:rsid w:val="00467591"/>
    <w:rsid w:val="004707FB"/>
    <w:rsid w:val="00471068"/>
    <w:rsid w:val="00473719"/>
    <w:rsid w:val="004803B4"/>
    <w:rsid w:val="00482885"/>
    <w:rsid w:val="00483F29"/>
    <w:rsid w:val="004B3467"/>
    <w:rsid w:val="004D2038"/>
    <w:rsid w:val="004D5388"/>
    <w:rsid w:val="004E0736"/>
    <w:rsid w:val="004E0F27"/>
    <w:rsid w:val="004E7404"/>
    <w:rsid w:val="004F48EA"/>
    <w:rsid w:val="004F6DE7"/>
    <w:rsid w:val="00503F50"/>
    <w:rsid w:val="00504A58"/>
    <w:rsid w:val="005070AE"/>
    <w:rsid w:val="00510D75"/>
    <w:rsid w:val="005115C6"/>
    <w:rsid w:val="00513476"/>
    <w:rsid w:val="005155BE"/>
    <w:rsid w:val="00523C52"/>
    <w:rsid w:val="00525DE5"/>
    <w:rsid w:val="0053181A"/>
    <w:rsid w:val="00534D9C"/>
    <w:rsid w:val="00535B39"/>
    <w:rsid w:val="0056508A"/>
    <w:rsid w:val="00566BD6"/>
    <w:rsid w:val="0057422D"/>
    <w:rsid w:val="005752CD"/>
    <w:rsid w:val="00587206"/>
    <w:rsid w:val="005A478E"/>
    <w:rsid w:val="005B465C"/>
    <w:rsid w:val="005B6893"/>
    <w:rsid w:val="005C08CA"/>
    <w:rsid w:val="005C4BDD"/>
    <w:rsid w:val="005C59D1"/>
    <w:rsid w:val="005D2178"/>
    <w:rsid w:val="005D4E34"/>
    <w:rsid w:val="005D5B72"/>
    <w:rsid w:val="005D60BC"/>
    <w:rsid w:val="005D750E"/>
    <w:rsid w:val="005E4413"/>
    <w:rsid w:val="005E66B8"/>
    <w:rsid w:val="005E687E"/>
    <w:rsid w:val="005F1BB6"/>
    <w:rsid w:val="006039EF"/>
    <w:rsid w:val="006124F5"/>
    <w:rsid w:val="0062213D"/>
    <w:rsid w:val="0062367A"/>
    <w:rsid w:val="006430A1"/>
    <w:rsid w:val="00645037"/>
    <w:rsid w:val="00647555"/>
    <w:rsid w:val="00653D85"/>
    <w:rsid w:val="006623D0"/>
    <w:rsid w:val="006652E5"/>
    <w:rsid w:val="0066668A"/>
    <w:rsid w:val="006817C6"/>
    <w:rsid w:val="0068565B"/>
    <w:rsid w:val="0068678E"/>
    <w:rsid w:val="00686FB9"/>
    <w:rsid w:val="006919F4"/>
    <w:rsid w:val="00694A68"/>
    <w:rsid w:val="006A773F"/>
    <w:rsid w:val="006C30E0"/>
    <w:rsid w:val="006C51EC"/>
    <w:rsid w:val="006C6850"/>
    <w:rsid w:val="006C6DEF"/>
    <w:rsid w:val="006E12B1"/>
    <w:rsid w:val="006E7750"/>
    <w:rsid w:val="006F18B1"/>
    <w:rsid w:val="006F1B4B"/>
    <w:rsid w:val="00715152"/>
    <w:rsid w:val="007233B2"/>
    <w:rsid w:val="007263BC"/>
    <w:rsid w:val="00727916"/>
    <w:rsid w:val="00732EF0"/>
    <w:rsid w:val="00745E11"/>
    <w:rsid w:val="00750FA9"/>
    <w:rsid w:val="00752CBD"/>
    <w:rsid w:val="00756877"/>
    <w:rsid w:val="00757E7A"/>
    <w:rsid w:val="007614D1"/>
    <w:rsid w:val="00762454"/>
    <w:rsid w:val="00762568"/>
    <w:rsid w:val="007679E7"/>
    <w:rsid w:val="00767BE0"/>
    <w:rsid w:val="00770DE1"/>
    <w:rsid w:val="007732BD"/>
    <w:rsid w:val="007874AD"/>
    <w:rsid w:val="00792310"/>
    <w:rsid w:val="00796C86"/>
    <w:rsid w:val="007B4887"/>
    <w:rsid w:val="007B57CF"/>
    <w:rsid w:val="007C3152"/>
    <w:rsid w:val="007E074C"/>
    <w:rsid w:val="007E1017"/>
    <w:rsid w:val="007E2DDA"/>
    <w:rsid w:val="007F0AD2"/>
    <w:rsid w:val="007F588C"/>
    <w:rsid w:val="007F6467"/>
    <w:rsid w:val="008123B9"/>
    <w:rsid w:val="008163B9"/>
    <w:rsid w:val="008176AF"/>
    <w:rsid w:val="00821045"/>
    <w:rsid w:val="00826A6F"/>
    <w:rsid w:val="00847CC7"/>
    <w:rsid w:val="00852919"/>
    <w:rsid w:val="008541FD"/>
    <w:rsid w:val="00861577"/>
    <w:rsid w:val="00862072"/>
    <w:rsid w:val="00865D5B"/>
    <w:rsid w:val="00885648"/>
    <w:rsid w:val="00885CDD"/>
    <w:rsid w:val="008870DA"/>
    <w:rsid w:val="008933FA"/>
    <w:rsid w:val="008A059B"/>
    <w:rsid w:val="008A0ACE"/>
    <w:rsid w:val="008C04FC"/>
    <w:rsid w:val="008C540B"/>
    <w:rsid w:val="008D13DA"/>
    <w:rsid w:val="008E633E"/>
    <w:rsid w:val="008F1564"/>
    <w:rsid w:val="008F3C9E"/>
    <w:rsid w:val="008F5580"/>
    <w:rsid w:val="008F7B13"/>
    <w:rsid w:val="00902F87"/>
    <w:rsid w:val="00922B35"/>
    <w:rsid w:val="0092747A"/>
    <w:rsid w:val="00927576"/>
    <w:rsid w:val="009340BA"/>
    <w:rsid w:val="0093701E"/>
    <w:rsid w:val="009375E3"/>
    <w:rsid w:val="00941B15"/>
    <w:rsid w:val="00942A99"/>
    <w:rsid w:val="00947D0B"/>
    <w:rsid w:val="009500C9"/>
    <w:rsid w:val="00956827"/>
    <w:rsid w:val="00960DF3"/>
    <w:rsid w:val="00962F9D"/>
    <w:rsid w:val="009649C9"/>
    <w:rsid w:val="009832CF"/>
    <w:rsid w:val="00983B2F"/>
    <w:rsid w:val="00993F15"/>
    <w:rsid w:val="009969A1"/>
    <w:rsid w:val="009A5666"/>
    <w:rsid w:val="009B4160"/>
    <w:rsid w:val="009E16A1"/>
    <w:rsid w:val="009F7E53"/>
    <w:rsid w:val="00A111AB"/>
    <w:rsid w:val="00A178A0"/>
    <w:rsid w:val="00A20472"/>
    <w:rsid w:val="00A30550"/>
    <w:rsid w:val="00A32D90"/>
    <w:rsid w:val="00A374C3"/>
    <w:rsid w:val="00A42BEB"/>
    <w:rsid w:val="00A453BD"/>
    <w:rsid w:val="00A45D98"/>
    <w:rsid w:val="00A5145F"/>
    <w:rsid w:val="00A67187"/>
    <w:rsid w:val="00A76395"/>
    <w:rsid w:val="00A83AD7"/>
    <w:rsid w:val="00A85823"/>
    <w:rsid w:val="00AA39B5"/>
    <w:rsid w:val="00AA4038"/>
    <w:rsid w:val="00AA6427"/>
    <w:rsid w:val="00AB6F47"/>
    <w:rsid w:val="00AC5657"/>
    <w:rsid w:val="00AC78E2"/>
    <w:rsid w:val="00AD400F"/>
    <w:rsid w:val="00AE30FF"/>
    <w:rsid w:val="00AE5480"/>
    <w:rsid w:val="00AE6A4D"/>
    <w:rsid w:val="00AF1B1D"/>
    <w:rsid w:val="00AF4326"/>
    <w:rsid w:val="00B00190"/>
    <w:rsid w:val="00B00709"/>
    <w:rsid w:val="00B07E47"/>
    <w:rsid w:val="00B14917"/>
    <w:rsid w:val="00B15FCF"/>
    <w:rsid w:val="00B2312E"/>
    <w:rsid w:val="00B26B0D"/>
    <w:rsid w:val="00B4147C"/>
    <w:rsid w:val="00B43E97"/>
    <w:rsid w:val="00B67796"/>
    <w:rsid w:val="00B71673"/>
    <w:rsid w:val="00B76197"/>
    <w:rsid w:val="00B850C1"/>
    <w:rsid w:val="00B86ED1"/>
    <w:rsid w:val="00B87AF1"/>
    <w:rsid w:val="00B87C0E"/>
    <w:rsid w:val="00B91A7F"/>
    <w:rsid w:val="00B93110"/>
    <w:rsid w:val="00BA1F29"/>
    <w:rsid w:val="00BA7A94"/>
    <w:rsid w:val="00BC454B"/>
    <w:rsid w:val="00BD3452"/>
    <w:rsid w:val="00BD4E57"/>
    <w:rsid w:val="00BD6374"/>
    <w:rsid w:val="00BD7EDB"/>
    <w:rsid w:val="00BE3CF5"/>
    <w:rsid w:val="00C00DA9"/>
    <w:rsid w:val="00C06BFB"/>
    <w:rsid w:val="00C07575"/>
    <w:rsid w:val="00C214AF"/>
    <w:rsid w:val="00C23C23"/>
    <w:rsid w:val="00C26F43"/>
    <w:rsid w:val="00C315F2"/>
    <w:rsid w:val="00C45491"/>
    <w:rsid w:val="00C50131"/>
    <w:rsid w:val="00C74F94"/>
    <w:rsid w:val="00C753B3"/>
    <w:rsid w:val="00C80A65"/>
    <w:rsid w:val="00C846C1"/>
    <w:rsid w:val="00C848F4"/>
    <w:rsid w:val="00C853D6"/>
    <w:rsid w:val="00C856F8"/>
    <w:rsid w:val="00C90F1A"/>
    <w:rsid w:val="00C91447"/>
    <w:rsid w:val="00C927CF"/>
    <w:rsid w:val="00C93E89"/>
    <w:rsid w:val="00CA5A69"/>
    <w:rsid w:val="00CC0E8F"/>
    <w:rsid w:val="00CD59CD"/>
    <w:rsid w:val="00CF0C5A"/>
    <w:rsid w:val="00CF45B8"/>
    <w:rsid w:val="00D02C79"/>
    <w:rsid w:val="00D0545C"/>
    <w:rsid w:val="00D0555E"/>
    <w:rsid w:val="00D07937"/>
    <w:rsid w:val="00D10D54"/>
    <w:rsid w:val="00D20BDF"/>
    <w:rsid w:val="00D214AE"/>
    <w:rsid w:val="00D23422"/>
    <w:rsid w:val="00D25970"/>
    <w:rsid w:val="00D26301"/>
    <w:rsid w:val="00D42AC0"/>
    <w:rsid w:val="00D57E61"/>
    <w:rsid w:val="00D668AF"/>
    <w:rsid w:val="00D722CE"/>
    <w:rsid w:val="00D733B2"/>
    <w:rsid w:val="00D779F2"/>
    <w:rsid w:val="00D8141A"/>
    <w:rsid w:val="00D8291C"/>
    <w:rsid w:val="00D90CA2"/>
    <w:rsid w:val="00D95C67"/>
    <w:rsid w:val="00DA0501"/>
    <w:rsid w:val="00DA6E0D"/>
    <w:rsid w:val="00DB0E8A"/>
    <w:rsid w:val="00DB2AEC"/>
    <w:rsid w:val="00DB50E1"/>
    <w:rsid w:val="00DC39DA"/>
    <w:rsid w:val="00DC3D06"/>
    <w:rsid w:val="00DC7DCD"/>
    <w:rsid w:val="00E03BE9"/>
    <w:rsid w:val="00E21DDA"/>
    <w:rsid w:val="00E25B3D"/>
    <w:rsid w:val="00E451D1"/>
    <w:rsid w:val="00E549ED"/>
    <w:rsid w:val="00E61E16"/>
    <w:rsid w:val="00E63BB2"/>
    <w:rsid w:val="00E662FF"/>
    <w:rsid w:val="00E67C6C"/>
    <w:rsid w:val="00E7411A"/>
    <w:rsid w:val="00E928CB"/>
    <w:rsid w:val="00EA58EA"/>
    <w:rsid w:val="00EA6BB5"/>
    <w:rsid w:val="00EC187C"/>
    <w:rsid w:val="00EC39D3"/>
    <w:rsid w:val="00ED2D00"/>
    <w:rsid w:val="00ED4295"/>
    <w:rsid w:val="00ED4B39"/>
    <w:rsid w:val="00ED6F17"/>
    <w:rsid w:val="00EE512F"/>
    <w:rsid w:val="00EF4E4B"/>
    <w:rsid w:val="00F067F6"/>
    <w:rsid w:val="00F152C4"/>
    <w:rsid w:val="00F21B9E"/>
    <w:rsid w:val="00F31686"/>
    <w:rsid w:val="00F342A7"/>
    <w:rsid w:val="00F370AB"/>
    <w:rsid w:val="00F51ADB"/>
    <w:rsid w:val="00F530D3"/>
    <w:rsid w:val="00F649E1"/>
    <w:rsid w:val="00F6585B"/>
    <w:rsid w:val="00F67A39"/>
    <w:rsid w:val="00F7271D"/>
    <w:rsid w:val="00F735A0"/>
    <w:rsid w:val="00F76713"/>
    <w:rsid w:val="00F879CA"/>
    <w:rsid w:val="00F91E69"/>
    <w:rsid w:val="00F936D5"/>
    <w:rsid w:val="00FA5E92"/>
    <w:rsid w:val="00FC0280"/>
    <w:rsid w:val="00FC38A5"/>
    <w:rsid w:val="00FC5707"/>
    <w:rsid w:val="00FD143E"/>
    <w:rsid w:val="00FD64A7"/>
    <w:rsid w:val="00FD6B7D"/>
    <w:rsid w:val="00FD7A4F"/>
    <w:rsid w:val="00FE6963"/>
    <w:rsid w:val="00FE78FF"/>
    <w:rsid w:val="00FF30E7"/>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0BBB30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bg-BG" w:eastAsia="bg-BG"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9"/>
    <w:qFormat/>
    <w:rsid w:val="00262C5B"/>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9"/>
    <w:qFormat/>
    <w:rsid w:val="00076E3F"/>
    <w:pPr>
      <w:keepNext/>
      <w:overflowPunct w:val="0"/>
      <w:autoSpaceDE w:val="0"/>
      <w:autoSpaceDN w:val="0"/>
      <w:adjustRightInd w:val="0"/>
      <w:spacing w:before="240" w:after="60"/>
      <w:ind w:firstLine="432"/>
      <w:textAlignment w:val="baseline"/>
      <w:outlineLvl w:val="1"/>
    </w:pPr>
    <w:rPr>
      <w:rFonts w:ascii="Calibri" w:eastAsia="MS Gothic" w:hAnsi="Calibri"/>
      <w:b/>
      <w:bCs/>
      <w:i/>
      <w:iCs/>
      <w:sz w:val="28"/>
      <w:szCs w:val="28"/>
      <w:lang w:val="en-US"/>
    </w:rPr>
  </w:style>
  <w:style w:type="paragraph" w:styleId="Heading3">
    <w:name w:val="heading 3"/>
    <w:basedOn w:val="Normal"/>
    <w:next w:val="Normal"/>
    <w:link w:val="Heading3Char"/>
    <w:uiPriority w:val="99"/>
    <w:qFormat/>
    <w:rsid w:val="00076E3F"/>
    <w:pPr>
      <w:keepNext/>
      <w:overflowPunct w:val="0"/>
      <w:autoSpaceDE w:val="0"/>
      <w:autoSpaceDN w:val="0"/>
      <w:adjustRightInd w:val="0"/>
      <w:spacing w:before="240" w:after="60"/>
      <w:ind w:firstLine="432"/>
      <w:textAlignment w:val="baseline"/>
      <w:outlineLvl w:val="2"/>
    </w:pPr>
    <w:rPr>
      <w:rFonts w:ascii="Calibri" w:eastAsia="MS Gothic" w:hAnsi="Calibri"/>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2C5B"/>
    <w:rPr>
      <w:rFonts w:ascii="Calibri" w:eastAsia="MS Gothic" w:hAnsi="Calibri"/>
      <w:b/>
      <w:color w:val="345A8A"/>
      <w:sz w:val="32"/>
      <w:lang w:val="en-GB" w:eastAsia="x-none"/>
    </w:rPr>
  </w:style>
  <w:style w:type="character" w:customStyle="1" w:styleId="Heading2Char">
    <w:name w:val="Heading 2 Char"/>
    <w:basedOn w:val="DefaultParagraphFont"/>
    <w:link w:val="Heading2"/>
    <w:uiPriority w:val="99"/>
    <w:locked/>
    <w:rsid w:val="00076E3F"/>
    <w:rPr>
      <w:rFonts w:ascii="Calibri" w:eastAsia="MS Gothic" w:hAnsi="Calibri"/>
      <w:b/>
      <w:i/>
      <w:sz w:val="28"/>
    </w:rPr>
  </w:style>
  <w:style w:type="character" w:customStyle="1" w:styleId="Heading3Char">
    <w:name w:val="Heading 3 Char"/>
    <w:basedOn w:val="DefaultParagraphFont"/>
    <w:link w:val="Heading3"/>
    <w:uiPriority w:val="99"/>
    <w:locked/>
    <w:rsid w:val="00076E3F"/>
    <w:rPr>
      <w:rFonts w:ascii="Calibri" w:eastAsia="MS Gothic" w:hAnsi="Calibri"/>
      <w:b/>
      <w:sz w:val="26"/>
    </w:rPr>
  </w:style>
  <w:style w:type="paragraph" w:styleId="BalloonText">
    <w:name w:val="Balloon Text"/>
    <w:basedOn w:val="Normal"/>
    <w:link w:val="BalloonTextChar"/>
    <w:uiPriority w:val="99"/>
    <w:semiHidden/>
    <w:rsid w:val="00076E3F"/>
    <w:pPr>
      <w:overflowPunct w:val="0"/>
      <w:autoSpaceDE w:val="0"/>
      <w:autoSpaceDN w:val="0"/>
      <w:adjustRightInd w:val="0"/>
      <w:ind w:firstLine="432"/>
      <w:textAlignment w:val="baseline"/>
    </w:pPr>
    <w:rPr>
      <w:rFonts w:ascii="Lucida Grande" w:hAnsi="Lucida Grande" w:cs="Lucida Grande"/>
      <w:sz w:val="18"/>
      <w:szCs w:val="18"/>
      <w:lang w:val="en-US"/>
    </w:rPr>
  </w:style>
  <w:style w:type="character" w:customStyle="1" w:styleId="BalloonTextChar">
    <w:name w:val="Balloon Text Char"/>
    <w:basedOn w:val="DefaultParagraphFont"/>
    <w:link w:val="BalloonText"/>
    <w:uiPriority w:val="99"/>
    <w:semiHidden/>
    <w:locked/>
    <w:rsid w:val="00076E3F"/>
    <w:rPr>
      <w:rFonts w:ascii="Lucida Grande" w:hAnsi="Lucida Grande"/>
      <w:sz w:val="18"/>
    </w:rPr>
  </w:style>
  <w:style w:type="paragraph" w:customStyle="1" w:styleId="xmsonormal">
    <w:name w:val="x_msonormal"/>
    <w:basedOn w:val="Normal"/>
    <w:uiPriority w:val="99"/>
    <w:rsid w:val="00861577"/>
    <w:pPr>
      <w:spacing w:before="100" w:beforeAutospacing="1" w:after="100" w:afterAutospacing="1"/>
    </w:pPr>
    <w:rPr>
      <w:rFonts w:ascii="Times" w:hAnsi="Times"/>
      <w:sz w:val="20"/>
      <w:szCs w:val="20"/>
      <w:lang w:val="en-US"/>
    </w:rPr>
  </w:style>
  <w:style w:type="paragraph" w:styleId="FootnoteText">
    <w:name w:val="footnote text"/>
    <w:aliases w:val="FA,FA Fußnotentext,Footnote Text Char Char Char Char,Note de bas de page Car Car,Footnote Text Char Char Char Char Char Char Char Char Char Char Char Char Char Char Char Char Char Char Char Char Char Char,FA Char,FA3,F"/>
    <w:basedOn w:val="Normal"/>
    <w:link w:val="FootnoteTextChar2"/>
    <w:rsid w:val="005B465C"/>
  </w:style>
  <w:style w:type="character" w:customStyle="1" w:styleId="FootnoteTextChar">
    <w:name w:val="Footnote Text Char"/>
    <w:aliases w:val="FA Char1,FA Fußnotentext Char,Footnote Text Char Char Char Char Char,Note de bas de page Car Car Char,Footnote Text Char Char Char Char Char Char Char Char Char Char Char Char Char Char Char Char Char Char Char Char Char Char Char"/>
    <w:basedOn w:val="DefaultParagraphFont"/>
    <w:rPr>
      <w:sz w:val="20"/>
      <w:lang w:val="en-GB" w:eastAsia="en-US"/>
    </w:rPr>
  </w:style>
  <w:style w:type="character" w:customStyle="1" w:styleId="FootnoteTextChar2">
    <w:name w:val="Footnote Text Char2"/>
    <w:aliases w:val="FA Char2,FA Fußnotentext Char1,Footnote Text Char Char Char Char Char1,Note de bas de page Car Car Char1,FA Char Char1,FA3 Char,F Char1"/>
    <w:link w:val="FootnoteText"/>
    <w:uiPriority w:val="99"/>
    <w:locked/>
    <w:rsid w:val="005B465C"/>
    <w:rPr>
      <w:lang w:val="en-GB" w:eastAsia="x-none"/>
    </w:rPr>
  </w:style>
  <w:style w:type="character" w:styleId="FootnoteReference">
    <w:name w:val="footnote reference"/>
    <w:aliases w:val="a Footnote Reference,FZ,Appel note de bas de page,Texto de nota al pie,4_G"/>
    <w:basedOn w:val="DefaultParagraphFont"/>
    <w:rsid w:val="005B465C"/>
    <w:rPr>
      <w:rFonts w:cs="Times New Roman"/>
      <w:vertAlign w:val="superscript"/>
    </w:rPr>
  </w:style>
  <w:style w:type="paragraph" w:styleId="PlainText">
    <w:name w:val="Plain Text"/>
    <w:basedOn w:val="Normal"/>
    <w:link w:val="PlainTextChar"/>
    <w:uiPriority w:val="99"/>
    <w:rsid w:val="006F1B4B"/>
    <w:rPr>
      <w:rFonts w:ascii="Consolas" w:hAnsi="Consolas" w:cs="Courier New"/>
      <w:sz w:val="21"/>
      <w:szCs w:val="21"/>
      <w:lang w:val="en-US"/>
    </w:rPr>
  </w:style>
  <w:style w:type="character" w:customStyle="1" w:styleId="PlainTextChar">
    <w:name w:val="Plain Text Char"/>
    <w:basedOn w:val="DefaultParagraphFont"/>
    <w:link w:val="PlainText"/>
    <w:uiPriority w:val="99"/>
    <w:locked/>
    <w:rsid w:val="006F1B4B"/>
    <w:rPr>
      <w:rFonts w:ascii="Consolas" w:hAnsi="Consolas"/>
      <w:sz w:val="21"/>
    </w:rPr>
  </w:style>
  <w:style w:type="paragraph" w:styleId="Header">
    <w:name w:val="header"/>
    <w:basedOn w:val="Normal"/>
    <w:link w:val="HeaderChar"/>
    <w:uiPriority w:val="99"/>
    <w:rsid w:val="00A5145F"/>
    <w:pPr>
      <w:tabs>
        <w:tab w:val="center" w:pos="4680"/>
        <w:tab w:val="right" w:pos="9360"/>
      </w:tabs>
    </w:pPr>
    <w:rPr>
      <w:rFonts w:ascii="Times New Roman" w:hAnsi="Times New Roman" w:cs="Courier New"/>
      <w:sz w:val="20"/>
      <w:szCs w:val="21"/>
      <w:lang w:val="en-US"/>
    </w:rPr>
  </w:style>
  <w:style w:type="character" w:customStyle="1" w:styleId="HeaderChar">
    <w:name w:val="Header Char"/>
    <w:basedOn w:val="DefaultParagraphFont"/>
    <w:link w:val="Header"/>
    <w:uiPriority w:val="99"/>
    <w:locked/>
    <w:rsid w:val="00A5145F"/>
    <w:rPr>
      <w:rFonts w:ascii="Times New Roman" w:hAnsi="Times New Roman"/>
      <w:sz w:val="21"/>
    </w:rPr>
  </w:style>
  <w:style w:type="paragraph" w:customStyle="1" w:styleId="SingleTxt">
    <w:name w:val="__Single Txt"/>
    <w:basedOn w:val="Normal"/>
    <w:uiPriority w:val="99"/>
    <w:rsid w:val="000C5D2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spacing w:val="4"/>
      <w:w w:val="103"/>
      <w:kern w:val="14"/>
      <w:sz w:val="20"/>
      <w:szCs w:val="20"/>
    </w:rPr>
  </w:style>
  <w:style w:type="paragraph" w:customStyle="1" w:styleId="footnote">
    <w:name w:val="footnote"/>
    <w:basedOn w:val="Normal"/>
    <w:autoRedefine/>
    <w:uiPriority w:val="99"/>
    <w:rsid w:val="00B71673"/>
    <w:pPr>
      <w:overflowPunct w:val="0"/>
      <w:autoSpaceDE w:val="0"/>
      <w:autoSpaceDN w:val="0"/>
      <w:adjustRightInd w:val="0"/>
      <w:ind w:left="360" w:hanging="360"/>
      <w:jc w:val="both"/>
      <w:textAlignment w:val="baseline"/>
    </w:pPr>
    <w:rPr>
      <w:rFonts w:ascii="Times New Roman" w:hAnsi="Times New Roman"/>
      <w:color w:val="000000"/>
      <w:sz w:val="20"/>
      <w:szCs w:val="17"/>
      <w:lang w:val="en-US" w:eastAsia="en-IN"/>
    </w:rPr>
  </w:style>
  <w:style w:type="paragraph" w:customStyle="1" w:styleId="p">
    <w:name w:val="p"/>
    <w:basedOn w:val="Normal"/>
    <w:link w:val="pChar"/>
    <w:autoRedefine/>
    <w:uiPriority w:val="99"/>
    <w:rsid w:val="00B2312E"/>
    <w:pPr>
      <w:overflowPunct w:val="0"/>
      <w:autoSpaceDE w:val="0"/>
      <w:autoSpaceDN w:val="0"/>
      <w:adjustRightInd w:val="0"/>
      <w:spacing w:line="360" w:lineRule="auto"/>
      <w:ind w:firstLine="720"/>
      <w:jc w:val="both"/>
      <w:textAlignment w:val="baseline"/>
    </w:pPr>
    <w:rPr>
      <w:rFonts w:ascii="Times New Roman" w:hAnsi="Times New Roman"/>
      <w:color w:val="000000"/>
      <w:lang w:val="en-US" w:eastAsia="en-IN"/>
    </w:rPr>
  </w:style>
  <w:style w:type="paragraph" w:customStyle="1" w:styleId="p1">
    <w:name w:val="p1"/>
    <w:basedOn w:val="Normal"/>
    <w:autoRedefine/>
    <w:uiPriority w:val="99"/>
    <w:rsid w:val="00076E3F"/>
    <w:pPr>
      <w:overflowPunct w:val="0"/>
      <w:autoSpaceDE w:val="0"/>
      <w:autoSpaceDN w:val="0"/>
      <w:adjustRightInd w:val="0"/>
      <w:spacing w:line="480" w:lineRule="auto"/>
      <w:ind w:firstLine="720"/>
      <w:jc w:val="both"/>
      <w:textAlignment w:val="baseline"/>
    </w:pPr>
    <w:rPr>
      <w:rFonts w:ascii="Times New Roman" w:hAnsi="Times New Roman"/>
      <w:color w:val="000000"/>
      <w:szCs w:val="20"/>
      <w:lang w:val="en-US" w:eastAsia="en-IN"/>
    </w:rPr>
  </w:style>
  <w:style w:type="paragraph" w:customStyle="1" w:styleId="h1">
    <w:name w:val="h1"/>
    <w:basedOn w:val="Normal"/>
    <w:autoRedefine/>
    <w:uiPriority w:val="99"/>
    <w:rsid w:val="00076E3F"/>
    <w:pPr>
      <w:overflowPunct w:val="0"/>
      <w:autoSpaceDE w:val="0"/>
      <w:autoSpaceDN w:val="0"/>
      <w:adjustRightInd w:val="0"/>
      <w:spacing w:before="315" w:after="90" w:line="480" w:lineRule="auto"/>
      <w:ind w:firstLine="432"/>
      <w:jc w:val="center"/>
      <w:textAlignment w:val="baseline"/>
    </w:pPr>
    <w:rPr>
      <w:rFonts w:ascii="Times New Roman" w:hAnsi="Times New Roman"/>
      <w:b/>
      <w:bCs/>
      <w:color w:val="000000"/>
      <w:sz w:val="32"/>
      <w:szCs w:val="25"/>
      <w:lang w:val="en-US" w:eastAsia="en-IN"/>
    </w:rPr>
  </w:style>
  <w:style w:type="paragraph" w:customStyle="1" w:styleId="bhead">
    <w:name w:val="bhead"/>
    <w:basedOn w:val="Normal"/>
    <w:uiPriority w:val="99"/>
    <w:rsid w:val="00076E3F"/>
    <w:pPr>
      <w:overflowPunct w:val="0"/>
      <w:autoSpaceDE w:val="0"/>
      <w:autoSpaceDN w:val="0"/>
      <w:adjustRightInd w:val="0"/>
      <w:spacing w:before="90" w:after="60"/>
      <w:ind w:firstLine="432"/>
      <w:textAlignment w:val="baseline"/>
    </w:pPr>
    <w:rPr>
      <w:rFonts w:ascii="Adobe Garamond Pro" w:hAnsi="Adobe Garamond Pro"/>
      <w:b/>
      <w:bCs/>
      <w:color w:val="000000"/>
      <w:sz w:val="23"/>
      <w:szCs w:val="23"/>
      <w:lang w:val="en-US" w:eastAsia="en-IN"/>
    </w:rPr>
  </w:style>
  <w:style w:type="paragraph" w:customStyle="1" w:styleId="ext3">
    <w:name w:val="ext3"/>
    <w:basedOn w:val="Normal"/>
    <w:autoRedefine/>
    <w:uiPriority w:val="99"/>
    <w:rsid w:val="00BC454B"/>
    <w:pPr>
      <w:overflowPunct w:val="0"/>
      <w:autoSpaceDE w:val="0"/>
      <w:autoSpaceDN w:val="0"/>
      <w:adjustRightInd w:val="0"/>
      <w:ind w:right="-64"/>
      <w:jc w:val="both"/>
      <w:textAlignment w:val="baseline"/>
    </w:pPr>
    <w:rPr>
      <w:rFonts w:ascii="Times New Roman" w:hAnsi="Times New Roman"/>
      <w:color w:val="000000"/>
      <w:sz w:val="20"/>
      <w:szCs w:val="20"/>
      <w:lang w:val="en-US" w:eastAsia="en-IN"/>
    </w:rPr>
  </w:style>
  <w:style w:type="paragraph" w:customStyle="1" w:styleId="pn">
    <w:name w:val="pn"/>
    <w:basedOn w:val="Normal"/>
    <w:autoRedefine/>
    <w:uiPriority w:val="99"/>
    <w:rsid w:val="00076E3F"/>
    <w:pPr>
      <w:overflowPunct w:val="0"/>
      <w:autoSpaceDE w:val="0"/>
      <w:autoSpaceDN w:val="0"/>
      <w:adjustRightInd w:val="0"/>
      <w:spacing w:after="180" w:line="480" w:lineRule="auto"/>
      <w:ind w:firstLine="432"/>
      <w:jc w:val="center"/>
      <w:textAlignment w:val="baseline"/>
    </w:pPr>
    <w:rPr>
      <w:rFonts w:ascii="Times New Roman" w:hAnsi="Times New Roman"/>
      <w:b/>
      <w:caps/>
      <w:color w:val="000000"/>
      <w:sz w:val="32"/>
      <w:szCs w:val="32"/>
      <w:lang w:val="en-US" w:eastAsia="en-IN"/>
    </w:rPr>
  </w:style>
  <w:style w:type="paragraph" w:customStyle="1" w:styleId="pt">
    <w:name w:val="pt"/>
    <w:basedOn w:val="Normal"/>
    <w:autoRedefine/>
    <w:uiPriority w:val="99"/>
    <w:rsid w:val="00076E3F"/>
    <w:pPr>
      <w:overflowPunct w:val="0"/>
      <w:autoSpaceDE w:val="0"/>
      <w:autoSpaceDN w:val="0"/>
      <w:adjustRightInd w:val="0"/>
      <w:spacing w:line="480" w:lineRule="auto"/>
      <w:ind w:firstLine="432"/>
      <w:jc w:val="center"/>
      <w:textAlignment w:val="baseline"/>
    </w:pPr>
    <w:rPr>
      <w:rFonts w:ascii="Times New Roman" w:hAnsi="Times New Roman"/>
      <w:b/>
      <w:caps/>
      <w:color w:val="000000"/>
      <w:sz w:val="32"/>
      <w:szCs w:val="32"/>
      <w:lang w:val="en-US" w:eastAsia="en-IN"/>
    </w:rPr>
  </w:style>
  <w:style w:type="paragraph" w:customStyle="1" w:styleId="ct">
    <w:name w:val="ct"/>
    <w:basedOn w:val="Normal"/>
    <w:autoRedefine/>
    <w:uiPriority w:val="99"/>
    <w:rsid w:val="00076E3F"/>
    <w:pPr>
      <w:overflowPunct w:val="0"/>
      <w:autoSpaceDE w:val="0"/>
      <w:autoSpaceDN w:val="0"/>
      <w:adjustRightInd w:val="0"/>
      <w:spacing w:after="200" w:line="480" w:lineRule="auto"/>
      <w:ind w:firstLine="432"/>
      <w:jc w:val="center"/>
      <w:textAlignment w:val="baseline"/>
    </w:pPr>
    <w:rPr>
      <w:rFonts w:ascii="Times New Roman" w:hAnsi="Times New Roman"/>
      <w:b/>
      <w:color w:val="000000"/>
      <w:sz w:val="28"/>
      <w:szCs w:val="28"/>
      <w:lang w:val="en-US" w:eastAsia="en-IN"/>
    </w:rPr>
  </w:style>
  <w:style w:type="paragraph" w:customStyle="1" w:styleId="legis">
    <w:name w:val="legis"/>
    <w:basedOn w:val="Normal"/>
    <w:autoRedefine/>
    <w:uiPriority w:val="99"/>
    <w:rsid w:val="00076E3F"/>
    <w:pPr>
      <w:overflowPunct w:val="0"/>
      <w:autoSpaceDE w:val="0"/>
      <w:autoSpaceDN w:val="0"/>
      <w:adjustRightInd w:val="0"/>
      <w:spacing w:line="480" w:lineRule="auto"/>
      <w:jc w:val="both"/>
      <w:textAlignment w:val="baseline"/>
    </w:pPr>
    <w:rPr>
      <w:rFonts w:ascii="Times New Roman" w:hAnsi="Times New Roman"/>
      <w:b/>
      <w:color w:val="000000"/>
      <w:szCs w:val="18"/>
      <w:lang w:val="en-US" w:eastAsia="en-IN"/>
    </w:rPr>
  </w:style>
  <w:style w:type="paragraph" w:customStyle="1" w:styleId="h2">
    <w:name w:val="h2"/>
    <w:basedOn w:val="Normal"/>
    <w:autoRedefine/>
    <w:uiPriority w:val="99"/>
    <w:rsid w:val="00076E3F"/>
    <w:pPr>
      <w:overflowPunct w:val="0"/>
      <w:autoSpaceDE w:val="0"/>
      <w:autoSpaceDN w:val="0"/>
      <w:adjustRightInd w:val="0"/>
      <w:spacing w:after="60" w:line="480" w:lineRule="auto"/>
      <w:ind w:firstLine="432"/>
      <w:textAlignment w:val="baseline"/>
    </w:pPr>
    <w:rPr>
      <w:rFonts w:ascii="Times New Roman" w:hAnsi="Times New Roman"/>
      <w:b/>
      <w:bCs/>
      <w:color w:val="000000"/>
      <w:sz w:val="28"/>
      <w:szCs w:val="23"/>
      <w:lang w:val="en-US" w:eastAsia="en-IN"/>
    </w:rPr>
  </w:style>
  <w:style w:type="paragraph" w:customStyle="1" w:styleId="bib">
    <w:name w:val="bib"/>
    <w:basedOn w:val="Normal"/>
    <w:autoRedefine/>
    <w:uiPriority w:val="99"/>
    <w:rsid w:val="00076E3F"/>
    <w:pPr>
      <w:overflowPunct w:val="0"/>
      <w:autoSpaceDE w:val="0"/>
      <w:autoSpaceDN w:val="0"/>
      <w:adjustRightInd w:val="0"/>
      <w:spacing w:line="480" w:lineRule="auto"/>
      <w:ind w:left="720" w:hanging="720"/>
      <w:jc w:val="both"/>
      <w:textAlignment w:val="baseline"/>
    </w:pPr>
    <w:rPr>
      <w:rFonts w:ascii="Times New Roman" w:hAnsi="Times New Roman"/>
      <w:color w:val="000000"/>
      <w:szCs w:val="18"/>
      <w:lang w:val="en-US" w:eastAsia="en-IN"/>
    </w:rPr>
  </w:style>
  <w:style w:type="character" w:customStyle="1" w:styleId="fn">
    <w:name w:val="fn"/>
    <w:uiPriority w:val="99"/>
    <w:rsid w:val="00076E3F"/>
    <w:rPr>
      <w:vertAlign w:val="superscript"/>
    </w:rPr>
  </w:style>
  <w:style w:type="character" w:customStyle="1" w:styleId="x-italic">
    <w:name w:val="x-italic"/>
    <w:rsid w:val="00076E3F"/>
    <w:rPr>
      <w:i/>
    </w:rPr>
  </w:style>
  <w:style w:type="character" w:customStyle="1" w:styleId="x-sup">
    <w:name w:val="x-sup"/>
    <w:uiPriority w:val="99"/>
    <w:rsid w:val="00076E3F"/>
    <w:rPr>
      <w:vertAlign w:val="superscript"/>
    </w:rPr>
  </w:style>
  <w:style w:type="character" w:customStyle="1" w:styleId="char-style-override-1">
    <w:name w:val="char-style-override-1"/>
    <w:uiPriority w:val="99"/>
    <w:rsid w:val="00076E3F"/>
  </w:style>
  <w:style w:type="character" w:styleId="Hyperlink">
    <w:name w:val="Hyperlink"/>
    <w:basedOn w:val="DefaultParagraphFont"/>
    <w:uiPriority w:val="99"/>
    <w:rsid w:val="00076E3F"/>
    <w:rPr>
      <w:rFonts w:cs="Times New Roman"/>
      <w:color w:val="0000FF"/>
      <w:u w:val="single"/>
    </w:rPr>
  </w:style>
  <w:style w:type="paragraph" w:customStyle="1" w:styleId="ect2">
    <w:name w:val="ect2"/>
    <w:basedOn w:val="Normal"/>
    <w:autoRedefine/>
    <w:uiPriority w:val="99"/>
    <w:rsid w:val="00076E3F"/>
    <w:pPr>
      <w:overflowPunct w:val="0"/>
      <w:autoSpaceDE w:val="0"/>
      <w:autoSpaceDN w:val="0"/>
      <w:adjustRightInd w:val="0"/>
      <w:spacing w:after="90" w:line="480" w:lineRule="auto"/>
      <w:ind w:left="720" w:right="720" w:firstLine="720"/>
      <w:jc w:val="both"/>
      <w:textAlignment w:val="baseline"/>
    </w:pPr>
    <w:rPr>
      <w:rFonts w:ascii="Times New Roman" w:hAnsi="Times New Roman"/>
      <w:color w:val="000000"/>
      <w:szCs w:val="18"/>
      <w:lang w:val="en-US" w:eastAsia="en-IN"/>
    </w:rPr>
  </w:style>
  <w:style w:type="paragraph" w:customStyle="1" w:styleId="ext">
    <w:name w:val="ext"/>
    <w:basedOn w:val="Normal"/>
    <w:autoRedefine/>
    <w:uiPriority w:val="99"/>
    <w:rsid w:val="00076E3F"/>
    <w:pPr>
      <w:overflowPunct w:val="0"/>
      <w:autoSpaceDE w:val="0"/>
      <w:autoSpaceDN w:val="0"/>
      <w:adjustRightInd w:val="0"/>
      <w:spacing w:line="480" w:lineRule="auto"/>
      <w:ind w:left="720" w:right="720" w:firstLine="720"/>
      <w:jc w:val="both"/>
      <w:textAlignment w:val="baseline"/>
    </w:pPr>
    <w:rPr>
      <w:rFonts w:ascii="Times New Roman" w:hAnsi="Times New Roman"/>
      <w:color w:val="000000"/>
      <w:szCs w:val="18"/>
      <w:lang w:val="en-US" w:eastAsia="en-IN"/>
    </w:rPr>
  </w:style>
  <w:style w:type="paragraph" w:customStyle="1" w:styleId="ext1">
    <w:name w:val="ext1"/>
    <w:basedOn w:val="Normal"/>
    <w:autoRedefine/>
    <w:uiPriority w:val="99"/>
    <w:rsid w:val="00076E3F"/>
    <w:pPr>
      <w:overflowPunct w:val="0"/>
      <w:autoSpaceDE w:val="0"/>
      <w:autoSpaceDN w:val="0"/>
      <w:adjustRightInd w:val="0"/>
      <w:spacing w:before="90" w:line="480" w:lineRule="auto"/>
      <w:ind w:left="720" w:right="720" w:firstLine="432"/>
      <w:jc w:val="both"/>
      <w:textAlignment w:val="baseline"/>
    </w:pPr>
    <w:rPr>
      <w:rFonts w:ascii="Times New Roman" w:hAnsi="Times New Roman"/>
      <w:color w:val="000000"/>
      <w:szCs w:val="18"/>
      <w:lang w:val="en-US" w:eastAsia="en-IN"/>
    </w:rPr>
  </w:style>
  <w:style w:type="paragraph" w:customStyle="1" w:styleId="para-style-override-1">
    <w:name w:val="para-style-override-1"/>
    <w:basedOn w:val="Normal"/>
    <w:uiPriority w:val="99"/>
    <w:rsid w:val="00076E3F"/>
    <w:pPr>
      <w:overflowPunct w:val="0"/>
      <w:autoSpaceDE w:val="0"/>
      <w:autoSpaceDN w:val="0"/>
      <w:adjustRightInd w:val="0"/>
      <w:spacing w:before="90" w:after="45"/>
      <w:ind w:firstLine="432"/>
      <w:textAlignment w:val="baseline"/>
    </w:pPr>
    <w:rPr>
      <w:rFonts w:ascii="Times New Roman" w:hAnsi="Times New Roman"/>
      <w:lang w:val="en-US" w:eastAsia="en-IN"/>
    </w:rPr>
  </w:style>
  <w:style w:type="paragraph" w:customStyle="1" w:styleId="para-style-override-2">
    <w:name w:val="para-style-override-2"/>
    <w:basedOn w:val="Normal"/>
    <w:uiPriority w:val="99"/>
    <w:rsid w:val="00076E3F"/>
    <w:pPr>
      <w:overflowPunct w:val="0"/>
      <w:autoSpaceDE w:val="0"/>
      <w:autoSpaceDN w:val="0"/>
      <w:adjustRightInd w:val="0"/>
      <w:spacing w:after="45"/>
      <w:ind w:firstLine="432"/>
      <w:textAlignment w:val="baseline"/>
    </w:pPr>
    <w:rPr>
      <w:rFonts w:ascii="Times New Roman" w:hAnsi="Times New Roman"/>
      <w:lang w:val="en-US" w:eastAsia="en-IN"/>
    </w:rPr>
  </w:style>
  <w:style w:type="paragraph" w:customStyle="1" w:styleId="para-style-override-3">
    <w:name w:val="para-style-override-3"/>
    <w:basedOn w:val="Normal"/>
    <w:uiPriority w:val="99"/>
    <w:rsid w:val="00076E3F"/>
    <w:pPr>
      <w:overflowPunct w:val="0"/>
      <w:autoSpaceDE w:val="0"/>
      <w:autoSpaceDN w:val="0"/>
      <w:adjustRightInd w:val="0"/>
      <w:spacing w:after="90"/>
      <w:ind w:firstLine="432"/>
      <w:textAlignment w:val="baseline"/>
    </w:pPr>
    <w:rPr>
      <w:rFonts w:ascii="Times New Roman" w:hAnsi="Times New Roman"/>
      <w:lang w:val="en-US" w:eastAsia="en-IN"/>
    </w:rPr>
  </w:style>
  <w:style w:type="paragraph" w:customStyle="1" w:styleId="para-style-override-4">
    <w:name w:val="para-style-override-4"/>
    <w:basedOn w:val="Normal"/>
    <w:uiPriority w:val="99"/>
    <w:rsid w:val="00076E3F"/>
    <w:pPr>
      <w:overflowPunct w:val="0"/>
      <w:autoSpaceDE w:val="0"/>
      <w:autoSpaceDN w:val="0"/>
      <w:adjustRightInd w:val="0"/>
      <w:spacing w:before="90" w:after="100" w:afterAutospacing="1"/>
      <w:ind w:firstLine="432"/>
      <w:textAlignment w:val="baseline"/>
    </w:pPr>
    <w:rPr>
      <w:rFonts w:ascii="Times New Roman" w:hAnsi="Times New Roman"/>
      <w:lang w:val="en-US" w:eastAsia="en-IN"/>
    </w:rPr>
  </w:style>
  <w:style w:type="paragraph" w:customStyle="1" w:styleId="para-style-override-5">
    <w:name w:val="para-style-override-5"/>
    <w:basedOn w:val="Normal"/>
    <w:uiPriority w:val="99"/>
    <w:rsid w:val="00076E3F"/>
    <w:pPr>
      <w:overflowPunct w:val="0"/>
      <w:autoSpaceDE w:val="0"/>
      <w:autoSpaceDN w:val="0"/>
      <w:adjustRightInd w:val="0"/>
      <w:spacing w:before="100" w:beforeAutospacing="1" w:after="90"/>
      <w:ind w:firstLine="432"/>
      <w:textAlignment w:val="baseline"/>
    </w:pPr>
    <w:rPr>
      <w:rFonts w:ascii="Times New Roman" w:hAnsi="Times New Roman"/>
      <w:lang w:val="en-US" w:eastAsia="en-IN"/>
    </w:rPr>
  </w:style>
  <w:style w:type="paragraph" w:customStyle="1" w:styleId="para-style-override-6">
    <w:name w:val="para-style-override-6"/>
    <w:basedOn w:val="Normal"/>
    <w:uiPriority w:val="99"/>
    <w:rsid w:val="00076E3F"/>
    <w:pPr>
      <w:overflowPunct w:val="0"/>
      <w:autoSpaceDE w:val="0"/>
      <w:autoSpaceDN w:val="0"/>
      <w:adjustRightInd w:val="0"/>
      <w:spacing w:before="90" w:after="90"/>
      <w:ind w:firstLine="432"/>
      <w:textAlignment w:val="baseline"/>
    </w:pPr>
    <w:rPr>
      <w:rFonts w:ascii="Times New Roman" w:hAnsi="Times New Roman"/>
      <w:lang w:val="en-US" w:eastAsia="en-IN"/>
    </w:rPr>
  </w:style>
  <w:style w:type="paragraph" w:customStyle="1" w:styleId="para-style-override-7">
    <w:name w:val="para-style-override-7"/>
    <w:basedOn w:val="Normal"/>
    <w:uiPriority w:val="99"/>
    <w:rsid w:val="00076E3F"/>
    <w:pPr>
      <w:overflowPunct w:val="0"/>
      <w:autoSpaceDE w:val="0"/>
      <w:autoSpaceDN w:val="0"/>
      <w:adjustRightInd w:val="0"/>
      <w:spacing w:before="30" w:after="100" w:afterAutospacing="1"/>
      <w:ind w:firstLine="432"/>
      <w:textAlignment w:val="baseline"/>
    </w:pPr>
    <w:rPr>
      <w:rFonts w:ascii="Times New Roman" w:hAnsi="Times New Roman"/>
      <w:lang w:val="en-US" w:eastAsia="en-IN"/>
    </w:rPr>
  </w:style>
  <w:style w:type="paragraph" w:customStyle="1" w:styleId="para-style-override-8">
    <w:name w:val="para-style-override-8"/>
    <w:basedOn w:val="Normal"/>
    <w:uiPriority w:val="99"/>
    <w:rsid w:val="00076E3F"/>
    <w:pPr>
      <w:overflowPunct w:val="0"/>
      <w:autoSpaceDE w:val="0"/>
      <w:autoSpaceDN w:val="0"/>
      <w:adjustRightInd w:val="0"/>
      <w:spacing w:before="30" w:after="90"/>
      <w:ind w:firstLine="432"/>
      <w:textAlignment w:val="baseline"/>
    </w:pPr>
    <w:rPr>
      <w:rFonts w:ascii="Times New Roman" w:hAnsi="Times New Roman"/>
      <w:lang w:val="en-US" w:eastAsia="en-IN"/>
    </w:rPr>
  </w:style>
  <w:style w:type="paragraph" w:customStyle="1" w:styleId="para-style-override-9">
    <w:name w:val="para-style-override-9"/>
    <w:basedOn w:val="Normal"/>
    <w:uiPriority w:val="99"/>
    <w:rsid w:val="00076E3F"/>
    <w:pPr>
      <w:overflowPunct w:val="0"/>
      <w:autoSpaceDE w:val="0"/>
      <w:autoSpaceDN w:val="0"/>
      <w:adjustRightInd w:val="0"/>
      <w:spacing w:before="75" w:after="100" w:afterAutospacing="1"/>
      <w:ind w:firstLine="432"/>
      <w:textAlignment w:val="baseline"/>
    </w:pPr>
    <w:rPr>
      <w:rFonts w:ascii="Times New Roman" w:hAnsi="Times New Roman"/>
      <w:lang w:val="en-US" w:eastAsia="en-IN"/>
    </w:rPr>
  </w:style>
  <w:style w:type="paragraph" w:customStyle="1" w:styleId="para-style-override-10">
    <w:name w:val="para-style-override-10"/>
    <w:basedOn w:val="Normal"/>
    <w:uiPriority w:val="99"/>
    <w:rsid w:val="00076E3F"/>
    <w:pPr>
      <w:overflowPunct w:val="0"/>
      <w:autoSpaceDE w:val="0"/>
      <w:autoSpaceDN w:val="0"/>
      <w:adjustRightInd w:val="0"/>
      <w:spacing w:before="60" w:after="100" w:afterAutospacing="1"/>
      <w:ind w:firstLine="432"/>
      <w:textAlignment w:val="baseline"/>
    </w:pPr>
    <w:rPr>
      <w:rFonts w:ascii="Times New Roman" w:hAnsi="Times New Roman"/>
      <w:lang w:val="en-US" w:eastAsia="en-IN"/>
    </w:rPr>
  </w:style>
  <w:style w:type="paragraph" w:customStyle="1" w:styleId="para-style-override-11">
    <w:name w:val="para-style-override-11"/>
    <w:basedOn w:val="Normal"/>
    <w:uiPriority w:val="99"/>
    <w:rsid w:val="00076E3F"/>
    <w:pPr>
      <w:overflowPunct w:val="0"/>
      <w:autoSpaceDE w:val="0"/>
      <w:autoSpaceDN w:val="0"/>
      <w:adjustRightInd w:val="0"/>
      <w:spacing w:before="100" w:beforeAutospacing="1" w:after="75"/>
      <w:ind w:firstLine="432"/>
      <w:textAlignment w:val="baseline"/>
    </w:pPr>
    <w:rPr>
      <w:rFonts w:ascii="Times New Roman" w:hAnsi="Times New Roman"/>
      <w:lang w:val="en-US" w:eastAsia="en-IN"/>
    </w:rPr>
  </w:style>
  <w:style w:type="paragraph" w:customStyle="1" w:styleId="para-style-override-12">
    <w:name w:val="para-style-override-12"/>
    <w:basedOn w:val="Normal"/>
    <w:uiPriority w:val="99"/>
    <w:rsid w:val="00076E3F"/>
    <w:pPr>
      <w:overflowPunct w:val="0"/>
      <w:autoSpaceDE w:val="0"/>
      <w:autoSpaceDN w:val="0"/>
      <w:adjustRightInd w:val="0"/>
      <w:spacing w:before="100" w:beforeAutospacing="1" w:after="100" w:afterAutospacing="1"/>
      <w:ind w:firstLine="165"/>
      <w:textAlignment w:val="baseline"/>
    </w:pPr>
    <w:rPr>
      <w:rFonts w:ascii="Times New Roman" w:hAnsi="Times New Roman"/>
      <w:lang w:val="en-US" w:eastAsia="en-IN"/>
    </w:rPr>
  </w:style>
  <w:style w:type="character" w:customStyle="1" w:styleId="x-semibolditalic">
    <w:name w:val="x-semibolditalic"/>
    <w:uiPriority w:val="99"/>
    <w:rsid w:val="00076E3F"/>
    <w:rPr>
      <w:i/>
    </w:rPr>
  </w:style>
  <w:style w:type="character" w:customStyle="1" w:styleId="char-style-override-2">
    <w:name w:val="char-style-override-2"/>
    <w:uiPriority w:val="99"/>
    <w:rsid w:val="00076E3F"/>
    <w:rPr>
      <w:vertAlign w:val="superscript"/>
    </w:rPr>
  </w:style>
  <w:style w:type="character" w:customStyle="1" w:styleId="char-style-override-3">
    <w:name w:val="char-style-override-3"/>
    <w:uiPriority w:val="99"/>
    <w:rsid w:val="00076E3F"/>
    <w:rPr>
      <w:i/>
    </w:rPr>
  </w:style>
  <w:style w:type="character" w:customStyle="1" w:styleId="char-style-override-4">
    <w:name w:val="char-style-override-4"/>
    <w:uiPriority w:val="99"/>
    <w:rsid w:val="00076E3F"/>
    <w:rPr>
      <w:smallCaps/>
    </w:rPr>
  </w:style>
  <w:style w:type="character" w:styleId="FollowedHyperlink">
    <w:name w:val="FollowedHyperlink"/>
    <w:basedOn w:val="DefaultParagraphFont"/>
    <w:uiPriority w:val="99"/>
    <w:semiHidden/>
    <w:rsid w:val="00076E3F"/>
    <w:rPr>
      <w:rFonts w:cs="Times New Roman"/>
      <w:color w:val="800080"/>
      <w:u w:val="single"/>
    </w:rPr>
  </w:style>
  <w:style w:type="paragraph" w:customStyle="1" w:styleId="basic-paragraph">
    <w:name w:val="basic-paragraph"/>
    <w:basedOn w:val="Normal"/>
    <w:uiPriority w:val="99"/>
    <w:rsid w:val="00076E3F"/>
    <w:pPr>
      <w:overflowPunct w:val="0"/>
      <w:autoSpaceDE w:val="0"/>
      <w:autoSpaceDN w:val="0"/>
      <w:adjustRightInd w:val="0"/>
      <w:ind w:firstLine="432"/>
      <w:textAlignment w:val="baseline"/>
    </w:pPr>
    <w:rPr>
      <w:rFonts w:ascii="Adobe Garamond Pro" w:hAnsi="Adobe Garamond Pro"/>
      <w:color w:val="000000"/>
      <w:sz w:val="20"/>
      <w:szCs w:val="20"/>
      <w:lang w:val="en-US" w:eastAsia="en-IN"/>
    </w:rPr>
  </w:style>
  <w:style w:type="paragraph" w:customStyle="1" w:styleId="para-style-override-13">
    <w:name w:val="para-style-override-13"/>
    <w:basedOn w:val="Normal"/>
    <w:uiPriority w:val="99"/>
    <w:rsid w:val="00076E3F"/>
    <w:pPr>
      <w:overflowPunct w:val="0"/>
      <w:autoSpaceDE w:val="0"/>
      <w:autoSpaceDN w:val="0"/>
      <w:adjustRightInd w:val="0"/>
      <w:spacing w:before="100" w:beforeAutospacing="1" w:after="100" w:afterAutospacing="1"/>
      <w:ind w:firstLine="3420"/>
      <w:textAlignment w:val="baseline"/>
    </w:pPr>
    <w:rPr>
      <w:rFonts w:ascii="Times New Roman" w:hAnsi="Times New Roman"/>
      <w:lang w:val="en-US" w:eastAsia="en-IN"/>
    </w:rPr>
  </w:style>
  <w:style w:type="paragraph" w:customStyle="1" w:styleId="para-style-override-14">
    <w:name w:val="para-style-override-14"/>
    <w:basedOn w:val="Normal"/>
    <w:uiPriority w:val="99"/>
    <w:rsid w:val="00076E3F"/>
    <w:pPr>
      <w:overflowPunct w:val="0"/>
      <w:autoSpaceDE w:val="0"/>
      <w:autoSpaceDN w:val="0"/>
      <w:adjustRightInd w:val="0"/>
      <w:spacing w:before="100" w:beforeAutospacing="1" w:after="100" w:afterAutospacing="1"/>
      <w:ind w:left="900" w:firstLine="432"/>
      <w:textAlignment w:val="baseline"/>
    </w:pPr>
    <w:rPr>
      <w:rFonts w:ascii="Times New Roman" w:hAnsi="Times New Roman"/>
      <w:lang w:val="en-US" w:eastAsia="en-IN"/>
    </w:rPr>
  </w:style>
  <w:style w:type="paragraph" w:customStyle="1" w:styleId="para-style-override-15">
    <w:name w:val="para-style-override-15"/>
    <w:basedOn w:val="Normal"/>
    <w:uiPriority w:val="99"/>
    <w:rsid w:val="00076E3F"/>
    <w:pPr>
      <w:overflowPunct w:val="0"/>
      <w:autoSpaceDE w:val="0"/>
      <w:autoSpaceDN w:val="0"/>
      <w:adjustRightInd w:val="0"/>
      <w:spacing w:before="100" w:beforeAutospacing="1" w:after="100" w:afterAutospacing="1"/>
      <w:ind w:left="2640" w:firstLine="432"/>
      <w:textAlignment w:val="baseline"/>
    </w:pPr>
    <w:rPr>
      <w:rFonts w:ascii="Times New Roman" w:hAnsi="Times New Roman"/>
      <w:lang w:val="en-US" w:eastAsia="en-IN"/>
    </w:rPr>
  </w:style>
  <w:style w:type="paragraph" w:customStyle="1" w:styleId="para-style-override-16">
    <w:name w:val="para-style-override-16"/>
    <w:basedOn w:val="Normal"/>
    <w:uiPriority w:val="99"/>
    <w:rsid w:val="00076E3F"/>
    <w:pPr>
      <w:overflowPunct w:val="0"/>
      <w:autoSpaceDE w:val="0"/>
      <w:autoSpaceDN w:val="0"/>
      <w:adjustRightInd w:val="0"/>
      <w:spacing w:before="100" w:beforeAutospacing="1" w:after="100" w:afterAutospacing="1"/>
      <w:ind w:left="1530" w:firstLine="432"/>
      <w:textAlignment w:val="baseline"/>
    </w:pPr>
    <w:rPr>
      <w:rFonts w:ascii="Times New Roman" w:hAnsi="Times New Roman"/>
      <w:lang w:val="en-US" w:eastAsia="en-IN"/>
    </w:rPr>
  </w:style>
  <w:style w:type="paragraph" w:customStyle="1" w:styleId="para-style-override-17">
    <w:name w:val="para-style-override-17"/>
    <w:basedOn w:val="Normal"/>
    <w:uiPriority w:val="99"/>
    <w:rsid w:val="00076E3F"/>
    <w:pPr>
      <w:overflowPunct w:val="0"/>
      <w:autoSpaceDE w:val="0"/>
      <w:autoSpaceDN w:val="0"/>
      <w:adjustRightInd w:val="0"/>
      <w:spacing w:before="100" w:beforeAutospacing="1" w:after="100" w:afterAutospacing="1"/>
      <w:ind w:left="2760" w:firstLine="432"/>
      <w:textAlignment w:val="baseline"/>
    </w:pPr>
    <w:rPr>
      <w:rFonts w:ascii="Times New Roman" w:hAnsi="Times New Roman"/>
      <w:lang w:val="en-US" w:eastAsia="en-IN"/>
    </w:rPr>
  </w:style>
  <w:style w:type="paragraph" w:customStyle="1" w:styleId="para-style-override-18">
    <w:name w:val="para-style-override-18"/>
    <w:basedOn w:val="Normal"/>
    <w:uiPriority w:val="99"/>
    <w:rsid w:val="00076E3F"/>
    <w:pPr>
      <w:overflowPunct w:val="0"/>
      <w:autoSpaceDE w:val="0"/>
      <w:autoSpaceDN w:val="0"/>
      <w:adjustRightInd w:val="0"/>
      <w:spacing w:before="100" w:beforeAutospacing="1" w:after="100" w:afterAutospacing="1"/>
      <w:ind w:left="45" w:firstLine="432"/>
      <w:textAlignment w:val="baseline"/>
    </w:pPr>
    <w:rPr>
      <w:rFonts w:ascii="Times New Roman" w:hAnsi="Times New Roman"/>
      <w:lang w:val="en-US" w:eastAsia="en-IN"/>
    </w:rPr>
  </w:style>
  <w:style w:type="character" w:customStyle="1" w:styleId="x-semibold">
    <w:name w:val="x-semibold"/>
    <w:uiPriority w:val="99"/>
    <w:rsid w:val="00076E3F"/>
  </w:style>
  <w:style w:type="paragraph" w:customStyle="1" w:styleId="chead">
    <w:name w:val="chead"/>
    <w:basedOn w:val="Normal"/>
    <w:uiPriority w:val="99"/>
    <w:rsid w:val="00076E3F"/>
    <w:pPr>
      <w:overflowPunct w:val="0"/>
      <w:autoSpaceDE w:val="0"/>
      <w:autoSpaceDN w:val="0"/>
      <w:adjustRightInd w:val="0"/>
      <w:spacing w:before="90" w:after="45"/>
      <w:ind w:firstLine="432"/>
      <w:textAlignment w:val="baseline"/>
    </w:pPr>
    <w:rPr>
      <w:rFonts w:ascii="Adobe Garamond Pro" w:hAnsi="Adobe Garamond Pro"/>
      <w:i/>
      <w:iCs/>
      <w:color w:val="000000"/>
      <w:sz w:val="23"/>
      <w:szCs w:val="23"/>
      <w:lang w:val="en-US" w:eastAsia="en-IN"/>
    </w:rPr>
  </w:style>
  <w:style w:type="paragraph" w:customStyle="1" w:styleId="legis-list">
    <w:name w:val="legis-list"/>
    <w:basedOn w:val="Normal"/>
    <w:link w:val="legis-listChar"/>
    <w:uiPriority w:val="99"/>
    <w:rsid w:val="00076E3F"/>
    <w:pPr>
      <w:overflowPunct w:val="0"/>
      <w:autoSpaceDE w:val="0"/>
      <w:autoSpaceDN w:val="0"/>
      <w:adjustRightInd w:val="0"/>
      <w:spacing w:before="45" w:after="45"/>
      <w:ind w:left="135" w:hanging="135"/>
      <w:jc w:val="both"/>
      <w:textAlignment w:val="baseline"/>
    </w:pPr>
    <w:rPr>
      <w:rFonts w:ascii="Adobe Garamond Pro" w:hAnsi="Adobe Garamond Pro"/>
      <w:b/>
      <w:bCs/>
      <w:color w:val="000000"/>
      <w:sz w:val="18"/>
      <w:szCs w:val="18"/>
      <w:lang w:val="en-US" w:eastAsia="en-IN"/>
    </w:rPr>
  </w:style>
  <w:style w:type="character" w:customStyle="1" w:styleId="x-bold">
    <w:name w:val="x-bold"/>
    <w:uiPriority w:val="99"/>
    <w:rsid w:val="00076E3F"/>
    <w:rPr>
      <w:b/>
    </w:rPr>
  </w:style>
  <w:style w:type="paragraph" w:customStyle="1" w:styleId="rh">
    <w:name w:val="rh"/>
    <w:basedOn w:val="Normal"/>
    <w:uiPriority w:val="99"/>
    <w:rsid w:val="00076E3F"/>
    <w:pPr>
      <w:overflowPunct w:val="0"/>
      <w:autoSpaceDE w:val="0"/>
      <w:autoSpaceDN w:val="0"/>
      <w:adjustRightInd w:val="0"/>
      <w:ind w:firstLine="432"/>
      <w:jc w:val="center"/>
      <w:textAlignment w:val="baseline"/>
    </w:pPr>
    <w:rPr>
      <w:rFonts w:ascii="Adobe Garamond Pro" w:hAnsi="Adobe Garamond Pro"/>
      <w:i/>
      <w:iCs/>
      <w:color w:val="000000"/>
      <w:sz w:val="20"/>
      <w:szCs w:val="20"/>
      <w:lang w:val="en-US" w:eastAsia="en-IN"/>
    </w:rPr>
  </w:style>
  <w:style w:type="paragraph" w:customStyle="1" w:styleId="para-style-override-19">
    <w:name w:val="para-style-override-19"/>
    <w:basedOn w:val="Normal"/>
    <w:uiPriority w:val="99"/>
    <w:rsid w:val="00076E3F"/>
    <w:pPr>
      <w:overflowPunct w:val="0"/>
      <w:autoSpaceDE w:val="0"/>
      <w:autoSpaceDN w:val="0"/>
      <w:adjustRightInd w:val="0"/>
      <w:spacing w:before="90" w:after="100" w:afterAutospacing="1"/>
      <w:ind w:firstLine="432"/>
      <w:textAlignment w:val="baseline"/>
    </w:pPr>
    <w:rPr>
      <w:rFonts w:ascii="Times New Roman" w:hAnsi="Times New Roman"/>
      <w:lang w:val="en-US" w:eastAsia="en-IN"/>
    </w:rPr>
  </w:style>
  <w:style w:type="paragraph" w:customStyle="1" w:styleId="para-style-override-20">
    <w:name w:val="para-style-override-20"/>
    <w:basedOn w:val="Normal"/>
    <w:uiPriority w:val="99"/>
    <w:rsid w:val="00076E3F"/>
    <w:pPr>
      <w:overflowPunct w:val="0"/>
      <w:autoSpaceDE w:val="0"/>
      <w:autoSpaceDN w:val="0"/>
      <w:adjustRightInd w:val="0"/>
      <w:spacing w:before="100" w:beforeAutospacing="1" w:after="90"/>
      <w:ind w:firstLine="432"/>
      <w:textAlignment w:val="baseline"/>
    </w:pPr>
    <w:rPr>
      <w:rFonts w:ascii="Times New Roman" w:hAnsi="Times New Roman"/>
      <w:lang w:val="en-US" w:eastAsia="en-IN"/>
    </w:rPr>
  </w:style>
  <w:style w:type="paragraph" w:customStyle="1" w:styleId="para-style-override-21">
    <w:name w:val="para-style-override-21"/>
    <w:basedOn w:val="Normal"/>
    <w:uiPriority w:val="99"/>
    <w:rsid w:val="00076E3F"/>
    <w:pPr>
      <w:overflowPunct w:val="0"/>
      <w:autoSpaceDE w:val="0"/>
      <w:autoSpaceDN w:val="0"/>
      <w:adjustRightInd w:val="0"/>
      <w:spacing w:before="165" w:after="100" w:afterAutospacing="1"/>
      <w:ind w:firstLine="432"/>
      <w:textAlignment w:val="baseline"/>
    </w:pPr>
    <w:rPr>
      <w:rFonts w:ascii="Times New Roman" w:hAnsi="Times New Roman"/>
      <w:lang w:val="en-US" w:eastAsia="en-IN"/>
    </w:rPr>
  </w:style>
  <w:style w:type="paragraph" w:customStyle="1" w:styleId="para-style-override-22">
    <w:name w:val="para-style-override-22"/>
    <w:basedOn w:val="Normal"/>
    <w:uiPriority w:val="99"/>
    <w:rsid w:val="00076E3F"/>
    <w:pPr>
      <w:overflowPunct w:val="0"/>
      <w:autoSpaceDE w:val="0"/>
      <w:autoSpaceDN w:val="0"/>
      <w:adjustRightInd w:val="0"/>
      <w:spacing w:before="100" w:beforeAutospacing="1" w:after="90"/>
      <w:ind w:firstLine="432"/>
      <w:textAlignment w:val="baseline"/>
    </w:pPr>
    <w:rPr>
      <w:rFonts w:ascii="Times New Roman" w:hAnsi="Times New Roman"/>
      <w:lang w:val="en-US" w:eastAsia="en-IN"/>
    </w:rPr>
  </w:style>
  <w:style w:type="paragraph" w:customStyle="1" w:styleId="para-style-override-23">
    <w:name w:val="para-style-override-23"/>
    <w:basedOn w:val="Normal"/>
    <w:uiPriority w:val="99"/>
    <w:rsid w:val="00076E3F"/>
    <w:pPr>
      <w:overflowPunct w:val="0"/>
      <w:autoSpaceDE w:val="0"/>
      <w:autoSpaceDN w:val="0"/>
      <w:adjustRightInd w:val="0"/>
      <w:spacing w:before="210" w:after="100" w:afterAutospacing="1"/>
      <w:ind w:firstLine="432"/>
      <w:textAlignment w:val="baseline"/>
    </w:pPr>
    <w:rPr>
      <w:rFonts w:ascii="Times New Roman" w:hAnsi="Times New Roman"/>
      <w:lang w:val="en-US" w:eastAsia="en-IN"/>
    </w:rPr>
  </w:style>
  <w:style w:type="paragraph" w:customStyle="1" w:styleId="para-style-override-24">
    <w:name w:val="para-style-override-24"/>
    <w:basedOn w:val="Normal"/>
    <w:uiPriority w:val="99"/>
    <w:rsid w:val="00076E3F"/>
    <w:pPr>
      <w:overflowPunct w:val="0"/>
      <w:autoSpaceDE w:val="0"/>
      <w:autoSpaceDN w:val="0"/>
      <w:adjustRightInd w:val="0"/>
      <w:spacing w:before="180" w:after="100" w:afterAutospacing="1"/>
      <w:ind w:firstLine="432"/>
      <w:textAlignment w:val="baseline"/>
    </w:pPr>
    <w:rPr>
      <w:rFonts w:ascii="Times New Roman" w:hAnsi="Times New Roman"/>
      <w:lang w:val="en-US" w:eastAsia="en-IN"/>
    </w:rPr>
  </w:style>
  <w:style w:type="paragraph" w:customStyle="1" w:styleId="para-style-override-25">
    <w:name w:val="para-style-override-25"/>
    <w:basedOn w:val="Normal"/>
    <w:uiPriority w:val="99"/>
    <w:rsid w:val="00076E3F"/>
    <w:pPr>
      <w:overflowPunct w:val="0"/>
      <w:autoSpaceDE w:val="0"/>
      <w:autoSpaceDN w:val="0"/>
      <w:adjustRightInd w:val="0"/>
      <w:spacing w:before="105" w:after="100" w:afterAutospacing="1"/>
      <w:ind w:firstLine="432"/>
      <w:textAlignment w:val="baseline"/>
    </w:pPr>
    <w:rPr>
      <w:rFonts w:ascii="Times New Roman" w:hAnsi="Times New Roman"/>
      <w:lang w:val="en-US" w:eastAsia="en-IN"/>
    </w:rPr>
  </w:style>
  <w:style w:type="paragraph" w:customStyle="1" w:styleId="para-style-override-26">
    <w:name w:val="para-style-override-26"/>
    <w:basedOn w:val="Normal"/>
    <w:uiPriority w:val="99"/>
    <w:rsid w:val="00076E3F"/>
    <w:pPr>
      <w:overflowPunct w:val="0"/>
      <w:autoSpaceDE w:val="0"/>
      <w:autoSpaceDN w:val="0"/>
      <w:adjustRightInd w:val="0"/>
      <w:spacing w:after="100" w:afterAutospacing="1"/>
      <w:ind w:firstLine="432"/>
      <w:textAlignment w:val="baseline"/>
    </w:pPr>
    <w:rPr>
      <w:rFonts w:ascii="Times New Roman" w:hAnsi="Times New Roman"/>
      <w:lang w:val="en-US" w:eastAsia="en-IN"/>
    </w:rPr>
  </w:style>
  <w:style w:type="paragraph" w:customStyle="1" w:styleId="para-style-override-27">
    <w:name w:val="para-style-override-27"/>
    <w:basedOn w:val="Normal"/>
    <w:uiPriority w:val="99"/>
    <w:rsid w:val="00076E3F"/>
    <w:pPr>
      <w:overflowPunct w:val="0"/>
      <w:autoSpaceDE w:val="0"/>
      <w:autoSpaceDN w:val="0"/>
      <w:adjustRightInd w:val="0"/>
      <w:spacing w:before="30" w:after="100" w:afterAutospacing="1"/>
      <w:ind w:firstLine="432"/>
      <w:textAlignment w:val="baseline"/>
    </w:pPr>
    <w:rPr>
      <w:rFonts w:ascii="Times New Roman" w:hAnsi="Times New Roman"/>
      <w:lang w:val="en-US" w:eastAsia="en-IN"/>
    </w:rPr>
  </w:style>
  <w:style w:type="paragraph" w:customStyle="1" w:styleId="para-style-override-28">
    <w:name w:val="para-style-override-28"/>
    <w:basedOn w:val="Normal"/>
    <w:uiPriority w:val="99"/>
    <w:rsid w:val="00076E3F"/>
    <w:pPr>
      <w:overflowPunct w:val="0"/>
      <w:autoSpaceDE w:val="0"/>
      <w:autoSpaceDN w:val="0"/>
      <w:adjustRightInd w:val="0"/>
      <w:spacing w:before="30" w:after="120"/>
      <w:ind w:firstLine="432"/>
      <w:textAlignment w:val="baseline"/>
    </w:pPr>
    <w:rPr>
      <w:rFonts w:ascii="Times New Roman" w:hAnsi="Times New Roman"/>
      <w:lang w:val="en-US" w:eastAsia="en-IN"/>
    </w:rPr>
  </w:style>
  <w:style w:type="paragraph" w:customStyle="1" w:styleId="para-style-override-29">
    <w:name w:val="para-style-override-29"/>
    <w:basedOn w:val="Normal"/>
    <w:uiPriority w:val="99"/>
    <w:rsid w:val="00076E3F"/>
    <w:pPr>
      <w:overflowPunct w:val="0"/>
      <w:autoSpaceDE w:val="0"/>
      <w:autoSpaceDN w:val="0"/>
      <w:adjustRightInd w:val="0"/>
      <w:spacing w:before="100" w:beforeAutospacing="1"/>
      <w:ind w:firstLine="432"/>
      <w:textAlignment w:val="baseline"/>
    </w:pPr>
    <w:rPr>
      <w:rFonts w:ascii="Times New Roman" w:hAnsi="Times New Roman"/>
      <w:lang w:val="en-US" w:eastAsia="en-IN"/>
    </w:rPr>
  </w:style>
  <w:style w:type="paragraph" w:customStyle="1" w:styleId="para-style-override-30">
    <w:name w:val="para-style-override-30"/>
    <w:basedOn w:val="Normal"/>
    <w:uiPriority w:val="99"/>
    <w:rsid w:val="00076E3F"/>
    <w:pPr>
      <w:overflowPunct w:val="0"/>
      <w:autoSpaceDE w:val="0"/>
      <w:autoSpaceDN w:val="0"/>
      <w:adjustRightInd w:val="0"/>
      <w:spacing w:before="135" w:after="100" w:afterAutospacing="1"/>
      <w:ind w:firstLine="432"/>
      <w:textAlignment w:val="baseline"/>
    </w:pPr>
    <w:rPr>
      <w:rFonts w:ascii="Times New Roman" w:hAnsi="Times New Roman"/>
      <w:lang w:val="en-US" w:eastAsia="en-IN"/>
    </w:rPr>
  </w:style>
  <w:style w:type="paragraph" w:customStyle="1" w:styleId="para-style-override-31">
    <w:name w:val="para-style-override-31"/>
    <w:basedOn w:val="Normal"/>
    <w:uiPriority w:val="99"/>
    <w:rsid w:val="00076E3F"/>
    <w:pPr>
      <w:overflowPunct w:val="0"/>
      <w:autoSpaceDE w:val="0"/>
      <w:autoSpaceDN w:val="0"/>
      <w:adjustRightInd w:val="0"/>
      <w:spacing w:before="100" w:beforeAutospacing="1" w:after="45"/>
      <w:ind w:firstLine="432"/>
      <w:textAlignment w:val="baseline"/>
    </w:pPr>
    <w:rPr>
      <w:rFonts w:ascii="Times New Roman" w:hAnsi="Times New Roman"/>
      <w:lang w:val="en-US" w:eastAsia="en-IN"/>
    </w:rPr>
  </w:style>
  <w:style w:type="paragraph" w:customStyle="1" w:styleId="para-style-override-32">
    <w:name w:val="para-style-override-32"/>
    <w:basedOn w:val="Normal"/>
    <w:uiPriority w:val="99"/>
    <w:rsid w:val="00076E3F"/>
    <w:pPr>
      <w:overflowPunct w:val="0"/>
      <w:autoSpaceDE w:val="0"/>
      <w:autoSpaceDN w:val="0"/>
      <w:adjustRightInd w:val="0"/>
      <w:spacing w:before="100" w:beforeAutospacing="1" w:after="100" w:afterAutospacing="1"/>
      <w:ind w:left="30" w:firstLine="432"/>
      <w:textAlignment w:val="baseline"/>
    </w:pPr>
    <w:rPr>
      <w:rFonts w:ascii="Times New Roman" w:hAnsi="Times New Roman"/>
      <w:lang w:val="en-US" w:eastAsia="en-IN"/>
    </w:rPr>
  </w:style>
  <w:style w:type="paragraph" w:customStyle="1" w:styleId="para-style-override-33">
    <w:name w:val="para-style-override-33"/>
    <w:basedOn w:val="Normal"/>
    <w:uiPriority w:val="99"/>
    <w:rsid w:val="00076E3F"/>
    <w:pPr>
      <w:overflowPunct w:val="0"/>
      <w:autoSpaceDE w:val="0"/>
      <w:autoSpaceDN w:val="0"/>
      <w:adjustRightInd w:val="0"/>
      <w:spacing w:before="270" w:after="100" w:afterAutospacing="1"/>
      <w:ind w:firstLine="432"/>
      <w:textAlignment w:val="baseline"/>
    </w:pPr>
    <w:rPr>
      <w:rFonts w:ascii="Times New Roman" w:hAnsi="Times New Roman"/>
      <w:lang w:val="en-US" w:eastAsia="en-IN"/>
    </w:rPr>
  </w:style>
  <w:style w:type="paragraph" w:customStyle="1" w:styleId="para-style-override-34">
    <w:name w:val="para-style-override-34"/>
    <w:basedOn w:val="Normal"/>
    <w:uiPriority w:val="99"/>
    <w:rsid w:val="00076E3F"/>
    <w:pPr>
      <w:overflowPunct w:val="0"/>
      <w:autoSpaceDE w:val="0"/>
      <w:autoSpaceDN w:val="0"/>
      <w:adjustRightInd w:val="0"/>
      <w:spacing w:before="100" w:beforeAutospacing="1" w:after="100" w:afterAutospacing="1"/>
      <w:ind w:left="195" w:firstLine="432"/>
      <w:textAlignment w:val="baseline"/>
    </w:pPr>
    <w:rPr>
      <w:rFonts w:ascii="Times New Roman" w:hAnsi="Times New Roman"/>
      <w:lang w:val="en-US" w:eastAsia="en-IN"/>
    </w:rPr>
  </w:style>
  <w:style w:type="paragraph" w:customStyle="1" w:styleId="para-style-override-35">
    <w:name w:val="para-style-override-35"/>
    <w:basedOn w:val="Normal"/>
    <w:uiPriority w:val="99"/>
    <w:rsid w:val="00076E3F"/>
    <w:pPr>
      <w:overflowPunct w:val="0"/>
      <w:autoSpaceDE w:val="0"/>
      <w:autoSpaceDN w:val="0"/>
      <w:adjustRightInd w:val="0"/>
      <w:spacing w:before="100" w:beforeAutospacing="1" w:after="100" w:afterAutospacing="1"/>
      <w:ind w:left="360" w:hanging="180"/>
      <w:textAlignment w:val="baseline"/>
    </w:pPr>
    <w:rPr>
      <w:rFonts w:ascii="Times New Roman" w:hAnsi="Times New Roman"/>
      <w:lang w:val="en-US" w:eastAsia="en-IN"/>
    </w:rPr>
  </w:style>
  <w:style w:type="paragraph" w:customStyle="1" w:styleId="para-style-override-36">
    <w:name w:val="para-style-override-36"/>
    <w:basedOn w:val="Normal"/>
    <w:uiPriority w:val="99"/>
    <w:rsid w:val="00076E3F"/>
    <w:pPr>
      <w:overflowPunct w:val="0"/>
      <w:autoSpaceDE w:val="0"/>
      <w:autoSpaceDN w:val="0"/>
      <w:adjustRightInd w:val="0"/>
      <w:spacing w:before="100" w:beforeAutospacing="1" w:after="100" w:afterAutospacing="1"/>
      <w:ind w:left="315" w:hanging="180"/>
      <w:textAlignment w:val="baseline"/>
    </w:pPr>
    <w:rPr>
      <w:rFonts w:ascii="Times New Roman" w:hAnsi="Times New Roman"/>
      <w:lang w:val="en-US" w:eastAsia="en-IN"/>
    </w:rPr>
  </w:style>
  <w:style w:type="paragraph" w:customStyle="1" w:styleId="para-style-override-37">
    <w:name w:val="para-style-override-37"/>
    <w:basedOn w:val="Normal"/>
    <w:uiPriority w:val="99"/>
    <w:rsid w:val="00076E3F"/>
    <w:pPr>
      <w:overflowPunct w:val="0"/>
      <w:autoSpaceDE w:val="0"/>
      <w:autoSpaceDN w:val="0"/>
      <w:adjustRightInd w:val="0"/>
      <w:spacing w:before="100" w:beforeAutospacing="1" w:after="90"/>
      <w:ind w:left="315" w:hanging="180"/>
      <w:textAlignment w:val="baseline"/>
    </w:pPr>
    <w:rPr>
      <w:rFonts w:ascii="Times New Roman" w:hAnsi="Times New Roman"/>
      <w:lang w:val="en-US" w:eastAsia="en-IN"/>
    </w:rPr>
  </w:style>
  <w:style w:type="paragraph" w:customStyle="1" w:styleId="para-style-override-38">
    <w:name w:val="para-style-override-38"/>
    <w:basedOn w:val="Normal"/>
    <w:uiPriority w:val="99"/>
    <w:rsid w:val="00076E3F"/>
    <w:pPr>
      <w:overflowPunct w:val="0"/>
      <w:autoSpaceDE w:val="0"/>
      <w:autoSpaceDN w:val="0"/>
      <w:adjustRightInd w:val="0"/>
      <w:spacing w:before="75" w:after="100" w:afterAutospacing="1"/>
      <w:ind w:firstLine="432"/>
      <w:textAlignment w:val="baseline"/>
    </w:pPr>
    <w:rPr>
      <w:rFonts w:ascii="Times New Roman" w:hAnsi="Times New Roman"/>
      <w:lang w:val="en-US" w:eastAsia="en-IN"/>
    </w:rPr>
  </w:style>
  <w:style w:type="paragraph" w:customStyle="1" w:styleId="para-style-override-39">
    <w:name w:val="para-style-override-39"/>
    <w:basedOn w:val="Normal"/>
    <w:uiPriority w:val="99"/>
    <w:rsid w:val="00076E3F"/>
    <w:pPr>
      <w:overflowPunct w:val="0"/>
      <w:autoSpaceDE w:val="0"/>
      <w:autoSpaceDN w:val="0"/>
      <w:adjustRightInd w:val="0"/>
      <w:spacing w:before="100" w:beforeAutospacing="1" w:after="100" w:afterAutospacing="1"/>
      <w:ind w:firstLine="165"/>
      <w:textAlignment w:val="baseline"/>
    </w:pPr>
    <w:rPr>
      <w:rFonts w:ascii="Times New Roman" w:hAnsi="Times New Roman"/>
      <w:lang w:val="en-US" w:eastAsia="en-IN"/>
    </w:rPr>
  </w:style>
  <w:style w:type="paragraph" w:customStyle="1" w:styleId="para-style-override-40">
    <w:name w:val="para-style-override-40"/>
    <w:basedOn w:val="Normal"/>
    <w:uiPriority w:val="99"/>
    <w:rsid w:val="00076E3F"/>
    <w:pPr>
      <w:overflowPunct w:val="0"/>
      <w:autoSpaceDE w:val="0"/>
      <w:autoSpaceDN w:val="0"/>
      <w:adjustRightInd w:val="0"/>
      <w:spacing w:before="100" w:beforeAutospacing="1" w:after="100" w:afterAutospacing="1"/>
      <w:ind w:firstLine="1305"/>
      <w:textAlignment w:val="baseline"/>
    </w:pPr>
    <w:rPr>
      <w:rFonts w:ascii="Times New Roman" w:hAnsi="Times New Roman"/>
      <w:lang w:val="en-US" w:eastAsia="en-IN"/>
    </w:rPr>
  </w:style>
  <w:style w:type="paragraph" w:customStyle="1" w:styleId="para-style-override-41">
    <w:name w:val="para-style-override-41"/>
    <w:basedOn w:val="Normal"/>
    <w:uiPriority w:val="99"/>
    <w:rsid w:val="00076E3F"/>
    <w:pPr>
      <w:overflowPunct w:val="0"/>
      <w:autoSpaceDE w:val="0"/>
      <w:autoSpaceDN w:val="0"/>
      <w:adjustRightInd w:val="0"/>
      <w:spacing w:before="100" w:beforeAutospacing="1" w:after="100" w:afterAutospacing="1"/>
      <w:ind w:firstLine="432"/>
      <w:jc w:val="both"/>
      <w:textAlignment w:val="baseline"/>
    </w:pPr>
    <w:rPr>
      <w:rFonts w:ascii="Times New Roman" w:hAnsi="Times New Roman"/>
      <w:lang w:val="en-US" w:eastAsia="en-IN"/>
    </w:rPr>
  </w:style>
  <w:style w:type="paragraph" w:customStyle="1" w:styleId="para-style-override-42">
    <w:name w:val="para-style-override-42"/>
    <w:basedOn w:val="Normal"/>
    <w:uiPriority w:val="99"/>
    <w:rsid w:val="00076E3F"/>
    <w:pPr>
      <w:overflowPunct w:val="0"/>
      <w:autoSpaceDE w:val="0"/>
      <w:autoSpaceDN w:val="0"/>
      <w:adjustRightInd w:val="0"/>
      <w:spacing w:before="100" w:beforeAutospacing="1" w:after="100" w:afterAutospacing="1"/>
      <w:ind w:firstLine="675"/>
      <w:textAlignment w:val="baseline"/>
    </w:pPr>
    <w:rPr>
      <w:rFonts w:ascii="Times New Roman" w:hAnsi="Times New Roman"/>
      <w:lang w:val="en-US" w:eastAsia="en-IN"/>
    </w:rPr>
  </w:style>
  <w:style w:type="paragraph" w:customStyle="1" w:styleId="para-style-override-43">
    <w:name w:val="para-style-override-43"/>
    <w:basedOn w:val="Normal"/>
    <w:uiPriority w:val="99"/>
    <w:rsid w:val="00076E3F"/>
    <w:pPr>
      <w:overflowPunct w:val="0"/>
      <w:autoSpaceDE w:val="0"/>
      <w:autoSpaceDN w:val="0"/>
      <w:adjustRightInd w:val="0"/>
      <w:spacing w:before="100" w:beforeAutospacing="1" w:after="100" w:afterAutospacing="1"/>
      <w:ind w:firstLine="1455"/>
      <w:textAlignment w:val="baseline"/>
    </w:pPr>
    <w:rPr>
      <w:rFonts w:ascii="Times New Roman" w:hAnsi="Times New Roman"/>
      <w:lang w:val="en-US" w:eastAsia="en-IN"/>
    </w:rPr>
  </w:style>
  <w:style w:type="paragraph" w:customStyle="1" w:styleId="para-style-override-44">
    <w:name w:val="para-style-override-44"/>
    <w:basedOn w:val="Normal"/>
    <w:uiPriority w:val="99"/>
    <w:rsid w:val="00076E3F"/>
    <w:pPr>
      <w:overflowPunct w:val="0"/>
      <w:autoSpaceDE w:val="0"/>
      <w:autoSpaceDN w:val="0"/>
      <w:adjustRightInd w:val="0"/>
      <w:spacing w:before="100" w:beforeAutospacing="1" w:after="100" w:afterAutospacing="1"/>
      <w:ind w:firstLine="2910"/>
      <w:textAlignment w:val="baseline"/>
    </w:pPr>
    <w:rPr>
      <w:rFonts w:ascii="Times New Roman" w:hAnsi="Times New Roman"/>
      <w:lang w:val="en-US" w:eastAsia="en-IN"/>
    </w:rPr>
  </w:style>
  <w:style w:type="character" w:customStyle="1" w:styleId="char-style-override-5">
    <w:name w:val="char-style-override-5"/>
    <w:uiPriority w:val="99"/>
    <w:rsid w:val="00076E3F"/>
    <w:rPr>
      <w:sz w:val="27"/>
      <w:vertAlign w:val="superscript"/>
    </w:rPr>
  </w:style>
  <w:style w:type="character" w:customStyle="1" w:styleId="char-style-override-6">
    <w:name w:val="char-style-override-6"/>
    <w:uiPriority w:val="99"/>
    <w:rsid w:val="00076E3F"/>
    <w:rPr>
      <w:caps/>
    </w:rPr>
  </w:style>
  <w:style w:type="character" w:customStyle="1" w:styleId="char-style-override-7">
    <w:name w:val="char-style-override-7"/>
    <w:uiPriority w:val="99"/>
    <w:rsid w:val="00076E3F"/>
    <w:rPr>
      <w:sz w:val="27"/>
    </w:rPr>
  </w:style>
  <w:style w:type="character" w:customStyle="1" w:styleId="x-bolditalic">
    <w:name w:val="x-bolditalic"/>
    <w:uiPriority w:val="99"/>
    <w:rsid w:val="00076E3F"/>
    <w:rPr>
      <w:b/>
      <w:i/>
    </w:rPr>
  </w:style>
  <w:style w:type="paragraph" w:customStyle="1" w:styleId="legis-text">
    <w:name w:val="legis-text"/>
    <w:basedOn w:val="Normal"/>
    <w:autoRedefine/>
    <w:uiPriority w:val="99"/>
    <w:rsid w:val="00076E3F"/>
    <w:pPr>
      <w:overflowPunct w:val="0"/>
      <w:autoSpaceDE w:val="0"/>
      <w:autoSpaceDN w:val="0"/>
      <w:adjustRightInd w:val="0"/>
      <w:spacing w:line="480" w:lineRule="auto"/>
      <w:ind w:firstLine="432"/>
      <w:jc w:val="both"/>
      <w:textAlignment w:val="baseline"/>
    </w:pPr>
    <w:rPr>
      <w:rFonts w:ascii="Times New Roman" w:hAnsi="Times New Roman"/>
      <w:color w:val="000000"/>
      <w:szCs w:val="18"/>
      <w:lang w:val="en-US" w:eastAsia="en-IN"/>
    </w:rPr>
  </w:style>
  <w:style w:type="paragraph" w:customStyle="1" w:styleId="legis-text1">
    <w:name w:val="legis-text1"/>
    <w:basedOn w:val="Normal"/>
    <w:uiPriority w:val="99"/>
    <w:rsid w:val="00076E3F"/>
    <w:pPr>
      <w:overflowPunct w:val="0"/>
      <w:autoSpaceDE w:val="0"/>
      <w:autoSpaceDN w:val="0"/>
      <w:adjustRightInd w:val="0"/>
      <w:spacing w:before="90"/>
      <w:ind w:firstLine="432"/>
      <w:jc w:val="both"/>
      <w:textAlignment w:val="baseline"/>
    </w:pPr>
    <w:rPr>
      <w:rFonts w:ascii="Adobe Garamond Pro" w:hAnsi="Adobe Garamond Pro"/>
      <w:b/>
      <w:bCs/>
      <w:color w:val="000000"/>
      <w:sz w:val="18"/>
      <w:szCs w:val="18"/>
      <w:lang w:val="en-US" w:eastAsia="en-IN"/>
    </w:rPr>
  </w:style>
  <w:style w:type="paragraph" w:customStyle="1" w:styleId="extract-list">
    <w:name w:val="extract-list"/>
    <w:basedOn w:val="Normal"/>
    <w:uiPriority w:val="99"/>
    <w:rsid w:val="00076E3F"/>
    <w:pPr>
      <w:overflowPunct w:val="0"/>
      <w:autoSpaceDE w:val="0"/>
      <w:autoSpaceDN w:val="0"/>
      <w:adjustRightInd w:val="0"/>
      <w:spacing w:before="90" w:after="90"/>
      <w:ind w:left="135" w:hanging="135"/>
      <w:jc w:val="both"/>
      <w:textAlignment w:val="baseline"/>
    </w:pPr>
    <w:rPr>
      <w:rFonts w:ascii="Adobe Garamond Pro" w:hAnsi="Adobe Garamond Pro"/>
      <w:color w:val="000000"/>
      <w:sz w:val="18"/>
      <w:szCs w:val="18"/>
      <w:lang w:val="en-US" w:eastAsia="en-IN"/>
    </w:rPr>
  </w:style>
  <w:style w:type="character" w:customStyle="1" w:styleId="x-allcaps">
    <w:name w:val="x-allcaps"/>
    <w:uiPriority w:val="99"/>
    <w:rsid w:val="00076E3F"/>
  </w:style>
  <w:style w:type="character" w:customStyle="1" w:styleId="x-smallcaps">
    <w:name w:val="x-smallcaps"/>
    <w:uiPriority w:val="99"/>
    <w:rsid w:val="00076E3F"/>
    <w:rPr>
      <w:color w:val="008080"/>
    </w:rPr>
  </w:style>
  <w:style w:type="character" w:customStyle="1" w:styleId="normal--char">
    <w:name w:val="normal--char"/>
    <w:uiPriority w:val="99"/>
    <w:rsid w:val="00076E3F"/>
  </w:style>
  <w:style w:type="paragraph" w:customStyle="1" w:styleId="legis-sublist">
    <w:name w:val="legis-sublist"/>
    <w:basedOn w:val="Normal"/>
    <w:uiPriority w:val="99"/>
    <w:rsid w:val="00076E3F"/>
    <w:pPr>
      <w:overflowPunct w:val="0"/>
      <w:autoSpaceDE w:val="0"/>
      <w:autoSpaceDN w:val="0"/>
      <w:adjustRightInd w:val="0"/>
      <w:ind w:left="465" w:hanging="225"/>
      <w:jc w:val="both"/>
      <w:textAlignment w:val="baseline"/>
    </w:pPr>
    <w:rPr>
      <w:rFonts w:ascii="Adobe Garamond Pro" w:hAnsi="Adobe Garamond Pro"/>
      <w:b/>
      <w:bCs/>
      <w:color w:val="000000"/>
      <w:sz w:val="18"/>
      <w:szCs w:val="18"/>
      <w:lang w:val="en-US" w:eastAsia="en-IN"/>
    </w:rPr>
  </w:style>
  <w:style w:type="paragraph" w:customStyle="1" w:styleId="legis-list1">
    <w:name w:val="legis-list1"/>
    <w:basedOn w:val="Normal"/>
    <w:link w:val="legis-list1Char"/>
    <w:uiPriority w:val="99"/>
    <w:rsid w:val="00076E3F"/>
    <w:pPr>
      <w:overflowPunct w:val="0"/>
      <w:autoSpaceDE w:val="0"/>
      <w:autoSpaceDN w:val="0"/>
      <w:adjustRightInd w:val="0"/>
      <w:spacing w:before="45"/>
      <w:ind w:left="225" w:hanging="225"/>
      <w:jc w:val="both"/>
      <w:textAlignment w:val="baseline"/>
    </w:pPr>
    <w:rPr>
      <w:rFonts w:ascii="Adobe Garamond Pro" w:hAnsi="Adobe Garamond Pro"/>
      <w:b/>
      <w:bCs/>
      <w:color w:val="000000"/>
      <w:sz w:val="18"/>
      <w:szCs w:val="18"/>
      <w:lang w:val="en-US" w:eastAsia="en-IN"/>
    </w:rPr>
  </w:style>
  <w:style w:type="paragraph" w:customStyle="1" w:styleId="legis-text2">
    <w:name w:val="legis-text2"/>
    <w:basedOn w:val="Normal"/>
    <w:uiPriority w:val="99"/>
    <w:rsid w:val="00076E3F"/>
    <w:pPr>
      <w:overflowPunct w:val="0"/>
      <w:autoSpaceDE w:val="0"/>
      <w:autoSpaceDN w:val="0"/>
      <w:adjustRightInd w:val="0"/>
      <w:spacing w:after="90"/>
      <w:ind w:firstLine="135"/>
      <w:jc w:val="both"/>
      <w:textAlignment w:val="baseline"/>
    </w:pPr>
    <w:rPr>
      <w:rFonts w:ascii="Adobe Garamond Pro" w:hAnsi="Adobe Garamond Pro"/>
      <w:b/>
      <w:bCs/>
      <w:color w:val="000000"/>
      <w:sz w:val="18"/>
      <w:szCs w:val="18"/>
      <w:lang w:val="en-US" w:eastAsia="en-IN"/>
    </w:rPr>
  </w:style>
  <w:style w:type="paragraph" w:customStyle="1" w:styleId="ind-1">
    <w:name w:val="ind-1"/>
    <w:basedOn w:val="Normal"/>
    <w:uiPriority w:val="99"/>
    <w:rsid w:val="00076E3F"/>
    <w:pPr>
      <w:overflowPunct w:val="0"/>
      <w:autoSpaceDE w:val="0"/>
      <w:autoSpaceDN w:val="0"/>
      <w:adjustRightInd w:val="0"/>
      <w:ind w:left="390" w:hanging="390"/>
      <w:textAlignment w:val="baseline"/>
    </w:pPr>
    <w:rPr>
      <w:rFonts w:ascii="Adobe Garamond Pro" w:hAnsi="Adobe Garamond Pro"/>
      <w:b/>
      <w:bCs/>
      <w:color w:val="000000"/>
      <w:sz w:val="18"/>
      <w:szCs w:val="18"/>
      <w:lang w:val="en-US" w:eastAsia="en-IN"/>
    </w:rPr>
  </w:style>
  <w:style w:type="paragraph" w:customStyle="1" w:styleId="ind-2">
    <w:name w:val="ind-2"/>
    <w:basedOn w:val="Normal"/>
    <w:uiPriority w:val="99"/>
    <w:rsid w:val="00076E3F"/>
    <w:pPr>
      <w:overflowPunct w:val="0"/>
      <w:autoSpaceDE w:val="0"/>
      <w:autoSpaceDN w:val="0"/>
      <w:adjustRightInd w:val="0"/>
      <w:ind w:left="375" w:hanging="225"/>
      <w:textAlignment w:val="baseline"/>
    </w:pPr>
    <w:rPr>
      <w:rFonts w:ascii="Adobe Garamond Pro" w:hAnsi="Adobe Garamond Pro"/>
      <w:color w:val="000000"/>
      <w:sz w:val="18"/>
      <w:szCs w:val="18"/>
      <w:lang w:val="en-US" w:eastAsia="en-IN"/>
    </w:rPr>
  </w:style>
  <w:style w:type="paragraph" w:customStyle="1" w:styleId="ind-3">
    <w:name w:val="ind-3"/>
    <w:basedOn w:val="Normal"/>
    <w:uiPriority w:val="99"/>
    <w:rsid w:val="00076E3F"/>
    <w:pPr>
      <w:overflowPunct w:val="0"/>
      <w:autoSpaceDE w:val="0"/>
      <w:autoSpaceDN w:val="0"/>
      <w:adjustRightInd w:val="0"/>
      <w:ind w:left="375" w:hanging="105"/>
      <w:textAlignment w:val="baseline"/>
    </w:pPr>
    <w:rPr>
      <w:rFonts w:ascii="Adobe Garamond Pro" w:hAnsi="Adobe Garamond Pro"/>
      <w:color w:val="000000"/>
      <w:sz w:val="18"/>
      <w:szCs w:val="18"/>
      <w:lang w:val="en-US" w:eastAsia="en-IN"/>
    </w:rPr>
  </w:style>
  <w:style w:type="paragraph" w:customStyle="1" w:styleId="pet">
    <w:name w:val="pet"/>
    <w:basedOn w:val="Normal"/>
    <w:uiPriority w:val="99"/>
    <w:rsid w:val="00076E3F"/>
    <w:pPr>
      <w:overflowPunct w:val="0"/>
      <w:autoSpaceDE w:val="0"/>
      <w:autoSpaceDN w:val="0"/>
      <w:adjustRightInd w:val="0"/>
      <w:ind w:firstLine="432"/>
      <w:jc w:val="center"/>
      <w:textAlignment w:val="baseline"/>
    </w:pPr>
    <w:rPr>
      <w:rFonts w:ascii="Adobe Garamond Pro" w:hAnsi="Adobe Garamond Pro"/>
      <w:i/>
      <w:iCs/>
      <w:color w:val="000000"/>
      <w:sz w:val="36"/>
      <w:szCs w:val="36"/>
      <w:lang w:val="en-US" w:eastAsia="en-IN"/>
    </w:rPr>
  </w:style>
  <w:style w:type="character" w:customStyle="1" w:styleId="se-bold">
    <w:name w:val="se-bold"/>
    <w:uiPriority w:val="99"/>
    <w:rsid w:val="00076E3F"/>
    <w:rPr>
      <w:rFonts w:ascii="Adobe Garamond Pro" w:hAnsi="Adobe Garamond Pro"/>
      <w:b/>
    </w:rPr>
  </w:style>
  <w:style w:type="paragraph" w:styleId="Footer">
    <w:name w:val="footer"/>
    <w:basedOn w:val="Normal"/>
    <w:link w:val="FooterChar"/>
    <w:autoRedefine/>
    <w:uiPriority w:val="99"/>
    <w:rsid w:val="00076E3F"/>
    <w:pPr>
      <w:tabs>
        <w:tab w:val="center" w:pos="4320"/>
        <w:tab w:val="right" w:pos="8640"/>
      </w:tabs>
      <w:overflowPunct w:val="0"/>
      <w:autoSpaceDE w:val="0"/>
      <w:autoSpaceDN w:val="0"/>
      <w:adjustRightInd w:val="0"/>
      <w:spacing w:line="480" w:lineRule="auto"/>
      <w:ind w:firstLine="432"/>
      <w:textAlignment w:val="baseline"/>
    </w:pPr>
    <w:rPr>
      <w:rFonts w:ascii="Times New Roman" w:hAnsi="Times New Roman"/>
      <w:sz w:val="20"/>
      <w:szCs w:val="20"/>
      <w:lang w:val="en-US"/>
    </w:rPr>
  </w:style>
  <w:style w:type="character" w:customStyle="1" w:styleId="FooterChar">
    <w:name w:val="Footer Char"/>
    <w:basedOn w:val="DefaultParagraphFont"/>
    <w:link w:val="Footer"/>
    <w:uiPriority w:val="99"/>
    <w:locked/>
    <w:rsid w:val="00076E3F"/>
    <w:rPr>
      <w:rFonts w:ascii="Times New Roman" w:hAnsi="Times New Roman"/>
      <w:sz w:val="20"/>
    </w:rPr>
  </w:style>
  <w:style w:type="paragraph" w:styleId="List">
    <w:name w:val="List"/>
    <w:basedOn w:val="Normal"/>
    <w:link w:val="ListChar"/>
    <w:autoRedefine/>
    <w:uiPriority w:val="99"/>
    <w:rsid w:val="00076E3F"/>
    <w:pPr>
      <w:spacing w:after="200" w:line="480" w:lineRule="auto"/>
      <w:ind w:left="360" w:hanging="360"/>
    </w:pPr>
    <w:rPr>
      <w:rFonts w:ascii="Times New Roman" w:hAnsi="Times New Roman"/>
      <w:szCs w:val="22"/>
      <w:lang w:val="en-IN"/>
    </w:rPr>
  </w:style>
  <w:style w:type="paragraph" w:customStyle="1" w:styleId="h3">
    <w:name w:val="h3"/>
    <w:basedOn w:val="Normal"/>
    <w:autoRedefine/>
    <w:uiPriority w:val="99"/>
    <w:rsid w:val="00076E3F"/>
    <w:pPr>
      <w:spacing w:before="90" w:after="45" w:line="480" w:lineRule="auto"/>
    </w:pPr>
    <w:rPr>
      <w:rFonts w:ascii="Times New Roman" w:hAnsi="Times New Roman"/>
      <w:i/>
      <w:iCs/>
      <w:color w:val="000000"/>
      <w:szCs w:val="23"/>
      <w:lang w:val="en-IN" w:eastAsia="en-IN"/>
    </w:rPr>
  </w:style>
  <w:style w:type="character" w:customStyle="1" w:styleId="legis-list1Char">
    <w:name w:val="legis-list1 Char"/>
    <w:link w:val="legis-list1"/>
    <w:uiPriority w:val="99"/>
    <w:locked/>
    <w:rsid w:val="00076E3F"/>
    <w:rPr>
      <w:rFonts w:ascii="Adobe Garamond Pro" w:hAnsi="Adobe Garamond Pro"/>
      <w:b/>
      <w:color w:val="000000"/>
      <w:sz w:val="18"/>
      <w:lang w:val="x-none" w:eastAsia="en-IN"/>
    </w:rPr>
  </w:style>
  <w:style w:type="paragraph" w:customStyle="1" w:styleId="legis-list2">
    <w:name w:val="legis-list2"/>
    <w:basedOn w:val="legis-list1"/>
    <w:autoRedefine/>
    <w:uiPriority w:val="99"/>
    <w:rsid w:val="00076E3F"/>
    <w:pPr>
      <w:overflowPunct/>
      <w:autoSpaceDE/>
      <w:autoSpaceDN/>
      <w:adjustRightInd/>
      <w:spacing w:line="480" w:lineRule="auto"/>
      <w:ind w:left="1080" w:hanging="360"/>
      <w:textAlignment w:val="auto"/>
    </w:pPr>
    <w:rPr>
      <w:rFonts w:ascii="Times New Roman" w:hAnsi="Times New Roman"/>
      <w:sz w:val="24"/>
      <w:lang w:val="en-IN"/>
    </w:rPr>
  </w:style>
  <w:style w:type="paragraph" w:customStyle="1" w:styleId="List1">
    <w:name w:val="List1"/>
    <w:basedOn w:val="List"/>
    <w:autoRedefine/>
    <w:uiPriority w:val="99"/>
    <w:rsid w:val="00076E3F"/>
    <w:pPr>
      <w:spacing w:after="0"/>
      <w:ind w:left="720"/>
    </w:pPr>
  </w:style>
  <w:style w:type="character" w:customStyle="1" w:styleId="ListChar">
    <w:name w:val="List Char"/>
    <w:link w:val="List"/>
    <w:uiPriority w:val="99"/>
    <w:locked/>
    <w:rsid w:val="00076E3F"/>
    <w:rPr>
      <w:rFonts w:ascii="Times New Roman" w:hAnsi="Times New Roman"/>
      <w:sz w:val="22"/>
      <w:lang w:val="en-IN" w:eastAsia="x-none"/>
    </w:rPr>
  </w:style>
  <w:style w:type="character" w:customStyle="1" w:styleId="pChar">
    <w:name w:val="p Char"/>
    <w:link w:val="p"/>
    <w:uiPriority w:val="99"/>
    <w:locked/>
    <w:rsid w:val="00B2312E"/>
    <w:rPr>
      <w:rFonts w:ascii="Times New Roman" w:hAnsi="Times New Roman"/>
      <w:color w:val="000000"/>
      <w:sz w:val="24"/>
      <w:szCs w:val="24"/>
      <w:lang w:val="en-US" w:eastAsia="en-IN"/>
    </w:rPr>
  </w:style>
  <w:style w:type="paragraph" w:customStyle="1" w:styleId="Stylelegis-textBold">
    <w:name w:val="Style legis-text + Bold"/>
    <w:basedOn w:val="legis-text"/>
    <w:autoRedefine/>
    <w:uiPriority w:val="99"/>
    <w:rsid w:val="00076E3F"/>
    <w:pPr>
      <w:overflowPunct/>
      <w:autoSpaceDE/>
      <w:autoSpaceDN/>
      <w:adjustRightInd/>
      <w:spacing w:before="45"/>
      <w:ind w:firstLine="0"/>
      <w:textAlignment w:val="auto"/>
    </w:pPr>
    <w:rPr>
      <w:rFonts w:ascii="Times New Roman Bold" w:hAnsi="Times New Roman Bold"/>
      <w:bCs/>
      <w:lang w:val="en-IN"/>
    </w:rPr>
  </w:style>
  <w:style w:type="paragraph" w:customStyle="1" w:styleId="list10">
    <w:name w:val="list 1"/>
    <w:basedOn w:val="List"/>
    <w:autoRedefine/>
    <w:uiPriority w:val="99"/>
    <w:rsid w:val="00076E3F"/>
    <w:pPr>
      <w:ind w:left="720"/>
    </w:pPr>
  </w:style>
  <w:style w:type="character" w:customStyle="1" w:styleId="legis-listChar">
    <w:name w:val="legis-list Char"/>
    <w:link w:val="legis-list"/>
    <w:uiPriority w:val="99"/>
    <w:locked/>
    <w:rsid w:val="00076E3F"/>
    <w:rPr>
      <w:rFonts w:ascii="Adobe Garamond Pro" w:hAnsi="Adobe Garamond Pro"/>
      <w:b/>
      <w:color w:val="000000"/>
      <w:sz w:val="18"/>
      <w:lang w:val="x-none" w:eastAsia="en-IN"/>
    </w:rPr>
  </w:style>
  <w:style w:type="paragraph" w:customStyle="1" w:styleId="bl">
    <w:name w:val="bl"/>
    <w:basedOn w:val="Normal"/>
    <w:uiPriority w:val="99"/>
    <w:rsid w:val="00076E3F"/>
    <w:pPr>
      <w:spacing w:before="90" w:line="480" w:lineRule="auto"/>
      <w:ind w:left="360" w:hanging="360"/>
      <w:jc w:val="both"/>
    </w:pPr>
    <w:rPr>
      <w:rFonts w:ascii="Times New Roman" w:hAnsi="Times New Roman"/>
      <w:color w:val="000000"/>
      <w:szCs w:val="18"/>
      <w:lang w:val="en-US" w:eastAsia="en-IN"/>
    </w:rPr>
  </w:style>
  <w:style w:type="character" w:customStyle="1" w:styleId="x-supchar-style-override-1">
    <w:name w:val="x-sup char-style-override-1"/>
    <w:uiPriority w:val="99"/>
    <w:rsid w:val="00076E3F"/>
  </w:style>
  <w:style w:type="character" w:customStyle="1" w:styleId="x-semibolditalicchar-style-override-3">
    <w:name w:val="x-semibolditalic char-style-override-3"/>
    <w:uiPriority w:val="99"/>
    <w:rsid w:val="00076E3F"/>
  </w:style>
  <w:style w:type="paragraph" w:customStyle="1" w:styleId="legis-textpara-style-override-3">
    <w:name w:val="legis-text para-style-override-3"/>
    <w:basedOn w:val="Normal"/>
    <w:uiPriority w:val="99"/>
    <w:rsid w:val="00076E3F"/>
    <w:pPr>
      <w:spacing w:before="100" w:beforeAutospacing="1" w:after="100" w:afterAutospacing="1"/>
    </w:pPr>
    <w:rPr>
      <w:rFonts w:ascii="Times New Roman" w:hAnsi="Times New Roman"/>
      <w:lang w:val="en-US"/>
    </w:rPr>
  </w:style>
  <w:style w:type="paragraph" w:customStyle="1" w:styleId="legispara-style-override-4">
    <w:name w:val="legis para-style-override-4"/>
    <w:basedOn w:val="Normal"/>
    <w:uiPriority w:val="99"/>
    <w:rsid w:val="00076E3F"/>
    <w:pPr>
      <w:spacing w:before="100" w:beforeAutospacing="1" w:after="100" w:afterAutospacing="1"/>
    </w:pPr>
    <w:rPr>
      <w:rFonts w:ascii="Times New Roman" w:hAnsi="Times New Roman"/>
      <w:lang w:val="en-US"/>
    </w:rPr>
  </w:style>
  <w:style w:type="paragraph" w:customStyle="1" w:styleId="legis-text2para-style-override-4">
    <w:name w:val="legis-text2 para-style-override-4"/>
    <w:basedOn w:val="Normal"/>
    <w:uiPriority w:val="99"/>
    <w:rsid w:val="00076E3F"/>
    <w:pPr>
      <w:spacing w:before="100" w:beforeAutospacing="1" w:after="100" w:afterAutospacing="1"/>
    </w:pPr>
    <w:rPr>
      <w:rFonts w:ascii="Times New Roman" w:hAnsi="Times New Roman"/>
      <w:lang w:val="en-US"/>
    </w:rPr>
  </w:style>
  <w:style w:type="character" w:customStyle="1" w:styleId="x-italicchar-style-override-2">
    <w:name w:val="x-italic char-style-override-2"/>
    <w:uiPriority w:val="99"/>
    <w:rsid w:val="00076E3F"/>
  </w:style>
  <w:style w:type="paragraph" w:customStyle="1" w:styleId="bheadpara-style-override-6">
    <w:name w:val="bhead para-style-override-6"/>
    <w:basedOn w:val="Normal"/>
    <w:uiPriority w:val="99"/>
    <w:rsid w:val="00076E3F"/>
    <w:pPr>
      <w:spacing w:before="100" w:beforeAutospacing="1" w:after="100" w:afterAutospacing="1"/>
    </w:pPr>
    <w:rPr>
      <w:rFonts w:ascii="Times New Roman" w:hAnsi="Times New Roman"/>
      <w:lang w:val="en-US"/>
    </w:rPr>
  </w:style>
  <w:style w:type="character" w:customStyle="1" w:styleId="x-boldchar-style-override-2">
    <w:name w:val="x-bold char-style-override-2"/>
    <w:uiPriority w:val="99"/>
    <w:rsid w:val="00076E3F"/>
  </w:style>
  <w:style w:type="character" w:customStyle="1" w:styleId="x-supfn">
    <w:name w:val="x-sup fn"/>
    <w:uiPriority w:val="99"/>
    <w:rsid w:val="00076E3F"/>
  </w:style>
  <w:style w:type="paragraph" w:customStyle="1" w:styleId="fm-half-title">
    <w:name w:val="fm-half-title"/>
    <w:basedOn w:val="Normal"/>
    <w:autoRedefine/>
    <w:uiPriority w:val="99"/>
    <w:rsid w:val="00076E3F"/>
    <w:pPr>
      <w:spacing w:after="149" w:line="480" w:lineRule="auto"/>
      <w:jc w:val="center"/>
    </w:pPr>
    <w:rPr>
      <w:rFonts w:ascii="Times New Roman" w:hAnsi="Times New Roman"/>
      <w:b/>
      <w:caps/>
      <w:color w:val="000000"/>
      <w:lang w:val="en-US"/>
    </w:rPr>
  </w:style>
  <w:style w:type="paragraph" w:customStyle="1" w:styleId="fm-author">
    <w:name w:val="fm-author"/>
    <w:basedOn w:val="Normal"/>
    <w:autoRedefine/>
    <w:uiPriority w:val="99"/>
    <w:rsid w:val="00076E3F"/>
    <w:pPr>
      <w:spacing w:before="300" w:line="480" w:lineRule="auto"/>
      <w:jc w:val="center"/>
    </w:pPr>
    <w:rPr>
      <w:rFonts w:ascii="Times New Roman" w:hAnsi="Times New Roman"/>
      <w:caps/>
      <w:color w:val="000000"/>
      <w:sz w:val="28"/>
      <w:szCs w:val="28"/>
      <w:lang w:val="en-US"/>
    </w:rPr>
  </w:style>
  <w:style w:type="paragraph" w:customStyle="1" w:styleId="fm-halftitle-text">
    <w:name w:val="fm-halftitle-text"/>
    <w:basedOn w:val="Normal"/>
    <w:autoRedefine/>
    <w:uiPriority w:val="99"/>
    <w:rsid w:val="00076E3F"/>
    <w:pPr>
      <w:spacing w:line="480" w:lineRule="auto"/>
      <w:jc w:val="center"/>
    </w:pPr>
    <w:rPr>
      <w:rFonts w:ascii="Times New Roman" w:hAnsi="Times New Roman"/>
      <w:color w:val="000000"/>
      <w:szCs w:val="18"/>
      <w:lang w:val="en-US"/>
    </w:rPr>
  </w:style>
  <w:style w:type="paragraph" w:customStyle="1" w:styleId="fm-halftitle">
    <w:name w:val="fm-halftitle"/>
    <w:basedOn w:val="Normal"/>
    <w:autoRedefine/>
    <w:uiPriority w:val="99"/>
    <w:rsid w:val="00076E3F"/>
    <w:pPr>
      <w:spacing w:before="900" w:line="480" w:lineRule="auto"/>
      <w:jc w:val="center"/>
    </w:pPr>
    <w:rPr>
      <w:rFonts w:ascii="Times New Roman" w:hAnsi="Times New Roman"/>
      <w:sz w:val="36"/>
      <w:lang w:val="en-US"/>
    </w:rPr>
  </w:style>
  <w:style w:type="paragraph" w:customStyle="1" w:styleId="copy">
    <w:name w:val="copy"/>
    <w:basedOn w:val="Normal"/>
    <w:autoRedefine/>
    <w:uiPriority w:val="99"/>
    <w:rsid w:val="00076E3F"/>
    <w:pPr>
      <w:spacing w:line="480" w:lineRule="auto"/>
      <w:jc w:val="center"/>
    </w:pPr>
    <w:rPr>
      <w:rFonts w:ascii="Times New Roman" w:hAnsi="Times New Roman"/>
      <w:lang w:val="en-US"/>
    </w:rPr>
  </w:style>
  <w:style w:type="paragraph" w:customStyle="1" w:styleId="fm-title">
    <w:name w:val="fm-title"/>
    <w:basedOn w:val="Normal"/>
    <w:autoRedefine/>
    <w:uiPriority w:val="99"/>
    <w:rsid w:val="00076E3F"/>
    <w:pPr>
      <w:spacing w:line="480" w:lineRule="auto"/>
      <w:jc w:val="center"/>
    </w:pPr>
    <w:rPr>
      <w:rFonts w:ascii="Times New Roman" w:hAnsi="Times New Roman"/>
      <w:color w:val="000000"/>
      <w:sz w:val="64"/>
      <w:szCs w:val="64"/>
      <w:lang w:val="en-US"/>
    </w:rPr>
  </w:style>
  <w:style w:type="paragraph" w:customStyle="1" w:styleId="textindpara-style-override-3">
    <w:name w:val="textind para-style-override-3"/>
    <w:basedOn w:val="Normal"/>
    <w:uiPriority w:val="99"/>
    <w:rsid w:val="00076E3F"/>
    <w:pPr>
      <w:spacing w:before="100" w:beforeAutospacing="1" w:after="100" w:afterAutospacing="1"/>
    </w:pPr>
    <w:rPr>
      <w:rFonts w:ascii="Times New Roman" w:hAnsi="Times New Roman"/>
      <w:lang w:val="en-US"/>
    </w:rPr>
  </w:style>
  <w:style w:type="paragraph" w:customStyle="1" w:styleId="fm-imprintpara-style-override-5">
    <w:name w:val="fm-imprint para-style-override-5"/>
    <w:basedOn w:val="Normal"/>
    <w:uiPriority w:val="99"/>
    <w:rsid w:val="00076E3F"/>
    <w:pPr>
      <w:spacing w:before="100" w:beforeAutospacing="1" w:after="100" w:afterAutospacing="1"/>
    </w:pPr>
    <w:rPr>
      <w:rFonts w:ascii="Times New Roman" w:hAnsi="Times New Roman"/>
      <w:lang w:val="en-US"/>
    </w:rPr>
  </w:style>
  <w:style w:type="paragraph" w:customStyle="1" w:styleId="fm-imprintpara-style-override-6">
    <w:name w:val="fm-imprint para-style-override-6"/>
    <w:basedOn w:val="Normal"/>
    <w:uiPriority w:val="99"/>
    <w:rsid w:val="00076E3F"/>
    <w:pPr>
      <w:spacing w:before="100" w:beforeAutospacing="1" w:after="100" w:afterAutospacing="1"/>
    </w:pPr>
    <w:rPr>
      <w:rFonts w:ascii="Times New Roman" w:hAnsi="Times New Roman"/>
      <w:lang w:val="en-US"/>
    </w:rPr>
  </w:style>
  <w:style w:type="paragraph" w:customStyle="1" w:styleId="textpara-style-override-17">
    <w:name w:val="text para-style-override-17"/>
    <w:basedOn w:val="Normal"/>
    <w:uiPriority w:val="99"/>
    <w:rsid w:val="00076E3F"/>
    <w:pPr>
      <w:spacing w:before="100" w:beforeAutospacing="1" w:after="100" w:afterAutospacing="1"/>
    </w:pPr>
    <w:rPr>
      <w:rFonts w:ascii="Times New Roman" w:hAnsi="Times New Roman"/>
      <w:lang w:val="en-US"/>
    </w:rPr>
  </w:style>
  <w:style w:type="paragraph" w:customStyle="1" w:styleId="textpara-style-override-18">
    <w:name w:val="text para-style-override-18"/>
    <w:basedOn w:val="Normal"/>
    <w:uiPriority w:val="99"/>
    <w:rsid w:val="00076E3F"/>
    <w:pPr>
      <w:spacing w:before="100" w:beforeAutospacing="1" w:after="100" w:afterAutospacing="1"/>
    </w:pPr>
    <w:rPr>
      <w:rFonts w:ascii="Times New Roman" w:hAnsi="Times New Roman"/>
      <w:lang w:val="en-US"/>
    </w:rPr>
  </w:style>
  <w:style w:type="paragraph" w:customStyle="1" w:styleId="footnotepara-style-override-19">
    <w:name w:val="footnote para-style-override-19"/>
    <w:basedOn w:val="Normal"/>
    <w:uiPriority w:val="99"/>
    <w:rsid w:val="00076E3F"/>
    <w:pPr>
      <w:spacing w:before="100" w:beforeAutospacing="1" w:after="100" w:afterAutospacing="1"/>
    </w:pPr>
    <w:rPr>
      <w:rFonts w:ascii="Times New Roman" w:hAnsi="Times New Roman"/>
      <w:lang w:val="en-US"/>
    </w:rPr>
  </w:style>
  <w:style w:type="paragraph" w:customStyle="1" w:styleId="content-prelims">
    <w:name w:val="content-prelims"/>
    <w:basedOn w:val="Normal"/>
    <w:autoRedefine/>
    <w:uiPriority w:val="99"/>
    <w:rsid w:val="00076E3F"/>
    <w:pPr>
      <w:spacing w:line="480" w:lineRule="auto"/>
    </w:pPr>
    <w:rPr>
      <w:rFonts w:ascii="Times New Roman" w:hAnsi="Times New Roman"/>
      <w:i/>
      <w:iCs/>
      <w:color w:val="000000"/>
      <w:szCs w:val="22"/>
      <w:lang w:val="en-US"/>
    </w:rPr>
  </w:style>
  <w:style w:type="paragraph" w:customStyle="1" w:styleId="content-aheadpara-style-override-11">
    <w:name w:val="content-ahead para-style-override-11"/>
    <w:basedOn w:val="Normal"/>
    <w:uiPriority w:val="99"/>
    <w:rsid w:val="00076E3F"/>
    <w:pPr>
      <w:spacing w:before="100" w:beforeAutospacing="1" w:after="100" w:afterAutospacing="1"/>
    </w:pPr>
    <w:rPr>
      <w:rFonts w:ascii="Times New Roman" w:hAnsi="Times New Roman"/>
      <w:lang w:val="en-US"/>
    </w:rPr>
  </w:style>
  <w:style w:type="paragraph" w:customStyle="1" w:styleId="content-partpara-style-override-12">
    <w:name w:val="content-part para-style-override-12"/>
    <w:basedOn w:val="Normal"/>
    <w:uiPriority w:val="99"/>
    <w:rsid w:val="00076E3F"/>
    <w:pPr>
      <w:spacing w:before="100" w:beforeAutospacing="1" w:after="100" w:afterAutospacing="1"/>
    </w:pPr>
    <w:rPr>
      <w:rFonts w:ascii="Times New Roman" w:hAnsi="Times New Roman"/>
      <w:lang w:val="en-US"/>
    </w:rPr>
  </w:style>
  <w:style w:type="paragraph" w:customStyle="1" w:styleId="content-ahead">
    <w:name w:val="content-ahead"/>
    <w:basedOn w:val="Normal"/>
    <w:autoRedefine/>
    <w:uiPriority w:val="99"/>
    <w:rsid w:val="00076E3F"/>
    <w:pPr>
      <w:spacing w:line="480" w:lineRule="auto"/>
    </w:pPr>
    <w:rPr>
      <w:rFonts w:ascii="Times New Roman" w:hAnsi="Times New Roman"/>
      <w:b/>
      <w:bCs/>
      <w:color w:val="000000"/>
      <w:szCs w:val="22"/>
      <w:lang w:val="en-US"/>
    </w:rPr>
  </w:style>
  <w:style w:type="paragraph" w:customStyle="1" w:styleId="content-part">
    <w:name w:val="content-part"/>
    <w:basedOn w:val="Normal"/>
    <w:autoRedefine/>
    <w:uiPriority w:val="99"/>
    <w:rsid w:val="00076E3F"/>
    <w:pPr>
      <w:spacing w:before="160" w:after="160" w:line="480" w:lineRule="auto"/>
    </w:pPr>
    <w:rPr>
      <w:rFonts w:ascii="Times New Roman" w:hAnsi="Times New Roman"/>
      <w:caps/>
      <w:color w:val="000000"/>
      <w:szCs w:val="22"/>
      <w:lang w:val="en-US"/>
    </w:rPr>
  </w:style>
  <w:style w:type="character" w:customStyle="1" w:styleId="char-style-override-8">
    <w:name w:val="char-style-override-8"/>
    <w:uiPriority w:val="99"/>
    <w:rsid w:val="00076E3F"/>
    <w:rPr>
      <w:i/>
    </w:rPr>
  </w:style>
  <w:style w:type="paragraph" w:customStyle="1" w:styleId="content-partpara-style-override-13">
    <w:name w:val="content-part para-style-override-13"/>
    <w:basedOn w:val="Normal"/>
    <w:uiPriority w:val="99"/>
    <w:rsid w:val="00076E3F"/>
    <w:pPr>
      <w:spacing w:before="100" w:beforeAutospacing="1" w:after="100" w:afterAutospacing="1"/>
    </w:pPr>
    <w:rPr>
      <w:rFonts w:ascii="Times New Roman" w:hAnsi="Times New Roman"/>
      <w:lang w:val="en-US"/>
    </w:rPr>
  </w:style>
  <w:style w:type="paragraph" w:customStyle="1" w:styleId="content-prelimspara-style-override-15">
    <w:name w:val="content-prelims para-style-override-15"/>
    <w:basedOn w:val="Normal"/>
    <w:uiPriority w:val="99"/>
    <w:rsid w:val="00076E3F"/>
    <w:pPr>
      <w:spacing w:before="100" w:beforeAutospacing="1" w:after="100" w:afterAutospacing="1"/>
    </w:pPr>
    <w:rPr>
      <w:rFonts w:ascii="Times New Roman" w:hAnsi="Times New Roman"/>
      <w:lang w:val="en-US"/>
    </w:rPr>
  </w:style>
  <w:style w:type="paragraph" w:customStyle="1" w:styleId="illustration">
    <w:name w:val="illustration"/>
    <w:basedOn w:val="Normal"/>
    <w:autoRedefine/>
    <w:uiPriority w:val="99"/>
    <w:rsid w:val="00076E3F"/>
    <w:pPr>
      <w:spacing w:line="480" w:lineRule="auto"/>
    </w:pPr>
    <w:rPr>
      <w:rFonts w:ascii="Times New Roman" w:hAnsi="Times New Roman"/>
      <w:color w:val="000000"/>
      <w:szCs w:val="20"/>
      <w:lang w:val="en-US"/>
    </w:rPr>
  </w:style>
  <w:style w:type="character" w:customStyle="1" w:styleId="char-style-override-9">
    <w:name w:val="char-style-override-9"/>
    <w:uiPriority w:val="99"/>
    <w:rsid w:val="00076E3F"/>
    <w:rPr>
      <w:vertAlign w:val="superscript"/>
    </w:rPr>
  </w:style>
  <w:style w:type="paragraph" w:customStyle="1" w:styleId="textpara-style-override-21">
    <w:name w:val="text para-style-override-21"/>
    <w:basedOn w:val="Normal"/>
    <w:uiPriority w:val="99"/>
    <w:rsid w:val="00076E3F"/>
    <w:pPr>
      <w:spacing w:before="100" w:beforeAutospacing="1" w:after="100" w:afterAutospacing="1"/>
    </w:pPr>
    <w:rPr>
      <w:rFonts w:ascii="Times New Roman" w:hAnsi="Times New Roman"/>
      <w:lang w:val="en-US"/>
    </w:rPr>
  </w:style>
  <w:style w:type="paragraph" w:customStyle="1" w:styleId="StyleillustrationLinespacingAtleast34pt">
    <w:name w:val="Style illustration + Line spacing:  At least 3.4 pt"/>
    <w:basedOn w:val="illustration"/>
    <w:autoRedefine/>
    <w:uiPriority w:val="99"/>
    <w:rsid w:val="00076E3F"/>
  </w:style>
  <w:style w:type="character" w:customStyle="1" w:styleId="Stylefolio12ptBlack">
    <w:name w:val="Style folio + 12 pt Black"/>
    <w:uiPriority w:val="99"/>
    <w:rsid w:val="00076E3F"/>
    <w:rPr>
      <w:rFonts w:ascii="Times New Roman" w:hAnsi="Times New Roman"/>
      <w:color w:val="000000"/>
      <w:sz w:val="24"/>
    </w:rPr>
  </w:style>
  <w:style w:type="paragraph" w:styleId="NormalWeb">
    <w:name w:val="Normal (Web)"/>
    <w:basedOn w:val="Normal"/>
    <w:uiPriority w:val="99"/>
    <w:rsid w:val="00076E3F"/>
    <w:pPr>
      <w:spacing w:before="100" w:beforeAutospacing="1" w:after="100" w:afterAutospacing="1"/>
    </w:pPr>
    <w:rPr>
      <w:rFonts w:ascii="Times New Roman" w:eastAsia="SimSun" w:hAnsi="Times New Roman"/>
    </w:rPr>
  </w:style>
  <w:style w:type="character" w:customStyle="1" w:styleId="small">
    <w:name w:val="small"/>
    <w:uiPriority w:val="99"/>
    <w:rsid w:val="00076E3F"/>
  </w:style>
  <w:style w:type="character" w:styleId="PageNumber">
    <w:name w:val="page number"/>
    <w:basedOn w:val="DefaultParagraphFont"/>
    <w:uiPriority w:val="99"/>
    <w:rsid w:val="00076E3F"/>
    <w:rPr>
      <w:rFonts w:cs="Times New Roman"/>
    </w:rPr>
  </w:style>
  <w:style w:type="character" w:customStyle="1" w:styleId="FootnoteTextChar1">
    <w:name w:val="Footnote Text Char1"/>
    <w:aliases w:val="Footnote Text Char Char,FA Char11,FA Fußnotentext Char2,Footnote Text Char Char Char Char Char2,Note de bas de page Car Car Char2,FA Char Char,FA3 Char1,F Char"/>
    <w:uiPriority w:val="99"/>
    <w:rsid w:val="00076E3F"/>
    <w:rPr>
      <w:sz w:val="16"/>
      <w:lang w:val="en-US" w:eastAsia="en-US"/>
    </w:rPr>
  </w:style>
  <w:style w:type="character" w:styleId="CommentReference">
    <w:name w:val="annotation reference"/>
    <w:basedOn w:val="DefaultParagraphFont"/>
    <w:uiPriority w:val="99"/>
    <w:semiHidden/>
    <w:rsid w:val="00076E3F"/>
    <w:rPr>
      <w:rFonts w:cs="Times New Roman"/>
      <w:sz w:val="18"/>
    </w:rPr>
  </w:style>
  <w:style w:type="paragraph" w:styleId="CommentText">
    <w:name w:val="annotation text"/>
    <w:basedOn w:val="Normal"/>
    <w:link w:val="CommentTextChar"/>
    <w:uiPriority w:val="99"/>
    <w:semiHidden/>
    <w:rsid w:val="00076E3F"/>
    <w:pPr>
      <w:overflowPunct w:val="0"/>
      <w:autoSpaceDE w:val="0"/>
      <w:autoSpaceDN w:val="0"/>
      <w:adjustRightInd w:val="0"/>
      <w:ind w:firstLine="432"/>
      <w:textAlignment w:val="baseline"/>
    </w:pPr>
    <w:rPr>
      <w:rFonts w:ascii="Times New Roman" w:hAnsi="Times New Roman"/>
      <w:lang w:val="en-US"/>
    </w:rPr>
  </w:style>
  <w:style w:type="character" w:customStyle="1" w:styleId="CommentTextChar">
    <w:name w:val="Comment Text Char"/>
    <w:basedOn w:val="DefaultParagraphFont"/>
    <w:link w:val="CommentText"/>
    <w:uiPriority w:val="99"/>
    <w:semiHidden/>
    <w:locked/>
    <w:rsid w:val="00076E3F"/>
    <w:rPr>
      <w:rFonts w:ascii="Times New Roman" w:hAnsi="Times New Roman"/>
    </w:rPr>
  </w:style>
  <w:style w:type="paragraph" w:styleId="CommentSubject">
    <w:name w:val="annotation subject"/>
    <w:basedOn w:val="CommentText"/>
    <w:next w:val="CommentText"/>
    <w:link w:val="CommentSubjectChar"/>
    <w:uiPriority w:val="99"/>
    <w:semiHidden/>
    <w:rsid w:val="00076E3F"/>
    <w:rPr>
      <w:b/>
      <w:bCs/>
      <w:sz w:val="20"/>
      <w:szCs w:val="20"/>
    </w:rPr>
  </w:style>
  <w:style w:type="character" w:customStyle="1" w:styleId="CommentSubjectChar">
    <w:name w:val="Comment Subject Char"/>
    <w:basedOn w:val="CommentTextChar"/>
    <w:link w:val="CommentSubject"/>
    <w:uiPriority w:val="99"/>
    <w:semiHidden/>
    <w:locked/>
    <w:rsid w:val="00076E3F"/>
    <w:rPr>
      <w:rFonts w:ascii="Times New Roman" w:hAnsi="Times New Roman"/>
      <w:b/>
      <w:sz w:val="20"/>
    </w:rPr>
  </w:style>
  <w:style w:type="paragraph" w:styleId="Revision">
    <w:name w:val="Revision"/>
    <w:hidden/>
    <w:uiPriority w:val="99"/>
    <w:semiHidden/>
    <w:rsid w:val="00076E3F"/>
    <w:rPr>
      <w:rFonts w:ascii="Times New Roman" w:hAnsi="Times New Roman"/>
      <w:sz w:val="20"/>
      <w:szCs w:val="20"/>
      <w:lang w:val="en-US" w:eastAsia="en-US"/>
    </w:rPr>
  </w:style>
  <w:style w:type="table" w:styleId="LightShading-Accent1">
    <w:name w:val="Light Shading Accent 1"/>
    <w:basedOn w:val="TableNormal"/>
    <w:uiPriority w:val="99"/>
    <w:rsid w:val="00715152"/>
    <w:rPr>
      <w:color w:val="365F91"/>
      <w:sz w:val="20"/>
      <w:szCs w:val="20"/>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Strong">
    <w:name w:val="Strong"/>
    <w:basedOn w:val="DefaultParagraphFont"/>
    <w:uiPriority w:val="99"/>
    <w:qFormat/>
    <w:rsid w:val="005E66B8"/>
    <w:rPr>
      <w:rFonts w:cs="Times New Roman"/>
      <w:b/>
    </w:rPr>
  </w:style>
  <w:style w:type="character" w:customStyle="1" w:styleId="st">
    <w:name w:val="st"/>
    <w:uiPriority w:val="99"/>
    <w:rsid w:val="00B14917"/>
  </w:style>
  <w:style w:type="character" w:styleId="Emphasis">
    <w:name w:val="Emphasis"/>
    <w:basedOn w:val="DefaultParagraphFont"/>
    <w:uiPriority w:val="99"/>
    <w:qFormat/>
    <w:rsid w:val="00B14917"/>
    <w:rPr>
      <w:rFonts w:cs="Times New Roman"/>
      <w:i/>
    </w:rPr>
  </w:style>
  <w:style w:type="paragraph" w:styleId="ListParagraph">
    <w:name w:val="List Paragraph"/>
    <w:basedOn w:val="Normal"/>
    <w:uiPriority w:val="34"/>
    <w:qFormat/>
    <w:rsid w:val="00647555"/>
    <w:pPr>
      <w:ind w:left="720"/>
      <w:contextualSpacing/>
    </w:pPr>
  </w:style>
  <w:style w:type="table" w:styleId="TableGrid">
    <w:name w:val="Table Grid"/>
    <w:basedOn w:val="TableNormal"/>
    <w:uiPriority w:val="99"/>
    <w:rsid w:val="002573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bg-BG" w:eastAsia="bg-BG"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9"/>
    <w:qFormat/>
    <w:rsid w:val="00262C5B"/>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9"/>
    <w:qFormat/>
    <w:rsid w:val="00076E3F"/>
    <w:pPr>
      <w:keepNext/>
      <w:overflowPunct w:val="0"/>
      <w:autoSpaceDE w:val="0"/>
      <w:autoSpaceDN w:val="0"/>
      <w:adjustRightInd w:val="0"/>
      <w:spacing w:before="240" w:after="60"/>
      <w:ind w:firstLine="432"/>
      <w:textAlignment w:val="baseline"/>
      <w:outlineLvl w:val="1"/>
    </w:pPr>
    <w:rPr>
      <w:rFonts w:ascii="Calibri" w:eastAsia="MS Gothic" w:hAnsi="Calibri"/>
      <w:b/>
      <w:bCs/>
      <w:i/>
      <w:iCs/>
      <w:sz w:val="28"/>
      <w:szCs w:val="28"/>
      <w:lang w:val="en-US"/>
    </w:rPr>
  </w:style>
  <w:style w:type="paragraph" w:styleId="Heading3">
    <w:name w:val="heading 3"/>
    <w:basedOn w:val="Normal"/>
    <w:next w:val="Normal"/>
    <w:link w:val="Heading3Char"/>
    <w:uiPriority w:val="99"/>
    <w:qFormat/>
    <w:rsid w:val="00076E3F"/>
    <w:pPr>
      <w:keepNext/>
      <w:overflowPunct w:val="0"/>
      <w:autoSpaceDE w:val="0"/>
      <w:autoSpaceDN w:val="0"/>
      <w:adjustRightInd w:val="0"/>
      <w:spacing w:before="240" w:after="60"/>
      <w:ind w:firstLine="432"/>
      <w:textAlignment w:val="baseline"/>
      <w:outlineLvl w:val="2"/>
    </w:pPr>
    <w:rPr>
      <w:rFonts w:ascii="Calibri" w:eastAsia="MS Gothic" w:hAnsi="Calibri"/>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2C5B"/>
    <w:rPr>
      <w:rFonts w:ascii="Calibri" w:eastAsia="MS Gothic" w:hAnsi="Calibri"/>
      <w:b/>
      <w:color w:val="345A8A"/>
      <w:sz w:val="32"/>
      <w:lang w:val="en-GB" w:eastAsia="x-none"/>
    </w:rPr>
  </w:style>
  <w:style w:type="character" w:customStyle="1" w:styleId="Heading2Char">
    <w:name w:val="Heading 2 Char"/>
    <w:basedOn w:val="DefaultParagraphFont"/>
    <w:link w:val="Heading2"/>
    <w:uiPriority w:val="99"/>
    <w:locked/>
    <w:rsid w:val="00076E3F"/>
    <w:rPr>
      <w:rFonts w:ascii="Calibri" w:eastAsia="MS Gothic" w:hAnsi="Calibri"/>
      <w:b/>
      <w:i/>
      <w:sz w:val="28"/>
    </w:rPr>
  </w:style>
  <w:style w:type="character" w:customStyle="1" w:styleId="Heading3Char">
    <w:name w:val="Heading 3 Char"/>
    <w:basedOn w:val="DefaultParagraphFont"/>
    <w:link w:val="Heading3"/>
    <w:uiPriority w:val="99"/>
    <w:locked/>
    <w:rsid w:val="00076E3F"/>
    <w:rPr>
      <w:rFonts w:ascii="Calibri" w:eastAsia="MS Gothic" w:hAnsi="Calibri"/>
      <w:b/>
      <w:sz w:val="26"/>
    </w:rPr>
  </w:style>
  <w:style w:type="paragraph" w:styleId="BalloonText">
    <w:name w:val="Balloon Text"/>
    <w:basedOn w:val="Normal"/>
    <w:link w:val="BalloonTextChar"/>
    <w:uiPriority w:val="99"/>
    <w:semiHidden/>
    <w:rsid w:val="00076E3F"/>
    <w:pPr>
      <w:overflowPunct w:val="0"/>
      <w:autoSpaceDE w:val="0"/>
      <w:autoSpaceDN w:val="0"/>
      <w:adjustRightInd w:val="0"/>
      <w:ind w:firstLine="432"/>
      <w:textAlignment w:val="baseline"/>
    </w:pPr>
    <w:rPr>
      <w:rFonts w:ascii="Lucida Grande" w:hAnsi="Lucida Grande" w:cs="Lucida Grande"/>
      <w:sz w:val="18"/>
      <w:szCs w:val="18"/>
      <w:lang w:val="en-US"/>
    </w:rPr>
  </w:style>
  <w:style w:type="character" w:customStyle="1" w:styleId="BalloonTextChar">
    <w:name w:val="Balloon Text Char"/>
    <w:basedOn w:val="DefaultParagraphFont"/>
    <w:link w:val="BalloonText"/>
    <w:uiPriority w:val="99"/>
    <w:semiHidden/>
    <w:locked/>
    <w:rsid w:val="00076E3F"/>
    <w:rPr>
      <w:rFonts w:ascii="Lucida Grande" w:hAnsi="Lucida Grande"/>
      <w:sz w:val="18"/>
    </w:rPr>
  </w:style>
  <w:style w:type="paragraph" w:customStyle="1" w:styleId="xmsonormal">
    <w:name w:val="x_msonormal"/>
    <w:basedOn w:val="Normal"/>
    <w:uiPriority w:val="99"/>
    <w:rsid w:val="00861577"/>
    <w:pPr>
      <w:spacing w:before="100" w:beforeAutospacing="1" w:after="100" w:afterAutospacing="1"/>
    </w:pPr>
    <w:rPr>
      <w:rFonts w:ascii="Times" w:hAnsi="Times"/>
      <w:sz w:val="20"/>
      <w:szCs w:val="20"/>
      <w:lang w:val="en-US"/>
    </w:rPr>
  </w:style>
  <w:style w:type="paragraph" w:styleId="FootnoteText">
    <w:name w:val="footnote text"/>
    <w:aliases w:val="FA,FA Fußnotentext,Footnote Text Char Char Char Char,Note de bas de page Car Car,Footnote Text Char Char Char Char Char Char Char Char Char Char Char Char Char Char Char Char Char Char Char Char Char Char,FA Char,FA3,F"/>
    <w:basedOn w:val="Normal"/>
    <w:link w:val="FootnoteTextChar2"/>
    <w:rsid w:val="005B465C"/>
  </w:style>
  <w:style w:type="character" w:customStyle="1" w:styleId="FootnoteTextChar">
    <w:name w:val="Footnote Text Char"/>
    <w:aliases w:val="FA Char1,FA Fußnotentext Char,Footnote Text Char Char Char Char Char,Note de bas de page Car Car Char,Footnote Text Char Char Char Char Char Char Char Char Char Char Char Char Char Char Char Char Char Char Char Char Char Char Char"/>
    <w:basedOn w:val="DefaultParagraphFont"/>
    <w:rPr>
      <w:sz w:val="20"/>
      <w:lang w:val="en-GB" w:eastAsia="en-US"/>
    </w:rPr>
  </w:style>
  <w:style w:type="character" w:customStyle="1" w:styleId="FootnoteTextChar2">
    <w:name w:val="Footnote Text Char2"/>
    <w:aliases w:val="FA Char2,FA Fußnotentext Char1,Footnote Text Char Char Char Char Char1,Note de bas de page Car Car Char1,FA Char Char1,FA3 Char,F Char1"/>
    <w:link w:val="FootnoteText"/>
    <w:uiPriority w:val="99"/>
    <w:locked/>
    <w:rsid w:val="005B465C"/>
    <w:rPr>
      <w:lang w:val="en-GB" w:eastAsia="x-none"/>
    </w:rPr>
  </w:style>
  <w:style w:type="character" w:styleId="FootnoteReference">
    <w:name w:val="footnote reference"/>
    <w:aliases w:val="a Footnote Reference,FZ,Appel note de bas de page,Texto de nota al pie,4_G"/>
    <w:basedOn w:val="DefaultParagraphFont"/>
    <w:rsid w:val="005B465C"/>
    <w:rPr>
      <w:rFonts w:cs="Times New Roman"/>
      <w:vertAlign w:val="superscript"/>
    </w:rPr>
  </w:style>
  <w:style w:type="paragraph" w:styleId="PlainText">
    <w:name w:val="Plain Text"/>
    <w:basedOn w:val="Normal"/>
    <w:link w:val="PlainTextChar"/>
    <w:uiPriority w:val="99"/>
    <w:rsid w:val="006F1B4B"/>
    <w:rPr>
      <w:rFonts w:ascii="Consolas" w:hAnsi="Consolas" w:cs="Courier New"/>
      <w:sz w:val="21"/>
      <w:szCs w:val="21"/>
      <w:lang w:val="en-US"/>
    </w:rPr>
  </w:style>
  <w:style w:type="character" w:customStyle="1" w:styleId="PlainTextChar">
    <w:name w:val="Plain Text Char"/>
    <w:basedOn w:val="DefaultParagraphFont"/>
    <w:link w:val="PlainText"/>
    <w:uiPriority w:val="99"/>
    <w:locked/>
    <w:rsid w:val="006F1B4B"/>
    <w:rPr>
      <w:rFonts w:ascii="Consolas" w:hAnsi="Consolas"/>
      <w:sz w:val="21"/>
    </w:rPr>
  </w:style>
  <w:style w:type="paragraph" w:styleId="Header">
    <w:name w:val="header"/>
    <w:basedOn w:val="Normal"/>
    <w:link w:val="HeaderChar"/>
    <w:uiPriority w:val="99"/>
    <w:rsid w:val="00A5145F"/>
    <w:pPr>
      <w:tabs>
        <w:tab w:val="center" w:pos="4680"/>
        <w:tab w:val="right" w:pos="9360"/>
      </w:tabs>
    </w:pPr>
    <w:rPr>
      <w:rFonts w:ascii="Times New Roman" w:hAnsi="Times New Roman" w:cs="Courier New"/>
      <w:sz w:val="20"/>
      <w:szCs w:val="21"/>
      <w:lang w:val="en-US"/>
    </w:rPr>
  </w:style>
  <w:style w:type="character" w:customStyle="1" w:styleId="HeaderChar">
    <w:name w:val="Header Char"/>
    <w:basedOn w:val="DefaultParagraphFont"/>
    <w:link w:val="Header"/>
    <w:uiPriority w:val="99"/>
    <w:locked/>
    <w:rsid w:val="00A5145F"/>
    <w:rPr>
      <w:rFonts w:ascii="Times New Roman" w:hAnsi="Times New Roman"/>
      <w:sz w:val="21"/>
    </w:rPr>
  </w:style>
  <w:style w:type="paragraph" w:customStyle="1" w:styleId="SingleTxt">
    <w:name w:val="__Single Txt"/>
    <w:basedOn w:val="Normal"/>
    <w:uiPriority w:val="99"/>
    <w:rsid w:val="000C5D2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spacing w:val="4"/>
      <w:w w:val="103"/>
      <w:kern w:val="14"/>
      <w:sz w:val="20"/>
      <w:szCs w:val="20"/>
    </w:rPr>
  </w:style>
  <w:style w:type="paragraph" w:customStyle="1" w:styleId="footnote">
    <w:name w:val="footnote"/>
    <w:basedOn w:val="Normal"/>
    <w:autoRedefine/>
    <w:uiPriority w:val="99"/>
    <w:rsid w:val="00B71673"/>
    <w:pPr>
      <w:overflowPunct w:val="0"/>
      <w:autoSpaceDE w:val="0"/>
      <w:autoSpaceDN w:val="0"/>
      <w:adjustRightInd w:val="0"/>
      <w:ind w:left="360" w:hanging="360"/>
      <w:jc w:val="both"/>
      <w:textAlignment w:val="baseline"/>
    </w:pPr>
    <w:rPr>
      <w:rFonts w:ascii="Times New Roman" w:hAnsi="Times New Roman"/>
      <w:color w:val="000000"/>
      <w:sz w:val="20"/>
      <w:szCs w:val="17"/>
      <w:lang w:val="en-US" w:eastAsia="en-IN"/>
    </w:rPr>
  </w:style>
  <w:style w:type="paragraph" w:customStyle="1" w:styleId="p">
    <w:name w:val="p"/>
    <w:basedOn w:val="Normal"/>
    <w:link w:val="pChar"/>
    <w:autoRedefine/>
    <w:uiPriority w:val="99"/>
    <w:rsid w:val="00B2312E"/>
    <w:pPr>
      <w:overflowPunct w:val="0"/>
      <w:autoSpaceDE w:val="0"/>
      <w:autoSpaceDN w:val="0"/>
      <w:adjustRightInd w:val="0"/>
      <w:spacing w:line="360" w:lineRule="auto"/>
      <w:ind w:firstLine="720"/>
      <w:jc w:val="both"/>
      <w:textAlignment w:val="baseline"/>
    </w:pPr>
    <w:rPr>
      <w:rFonts w:ascii="Times New Roman" w:hAnsi="Times New Roman"/>
      <w:color w:val="000000"/>
      <w:lang w:val="en-US" w:eastAsia="en-IN"/>
    </w:rPr>
  </w:style>
  <w:style w:type="paragraph" w:customStyle="1" w:styleId="p1">
    <w:name w:val="p1"/>
    <w:basedOn w:val="Normal"/>
    <w:autoRedefine/>
    <w:uiPriority w:val="99"/>
    <w:rsid w:val="00076E3F"/>
    <w:pPr>
      <w:overflowPunct w:val="0"/>
      <w:autoSpaceDE w:val="0"/>
      <w:autoSpaceDN w:val="0"/>
      <w:adjustRightInd w:val="0"/>
      <w:spacing w:line="480" w:lineRule="auto"/>
      <w:ind w:firstLine="720"/>
      <w:jc w:val="both"/>
      <w:textAlignment w:val="baseline"/>
    </w:pPr>
    <w:rPr>
      <w:rFonts w:ascii="Times New Roman" w:hAnsi="Times New Roman"/>
      <w:color w:val="000000"/>
      <w:szCs w:val="20"/>
      <w:lang w:val="en-US" w:eastAsia="en-IN"/>
    </w:rPr>
  </w:style>
  <w:style w:type="paragraph" w:customStyle="1" w:styleId="h1">
    <w:name w:val="h1"/>
    <w:basedOn w:val="Normal"/>
    <w:autoRedefine/>
    <w:uiPriority w:val="99"/>
    <w:rsid w:val="00076E3F"/>
    <w:pPr>
      <w:overflowPunct w:val="0"/>
      <w:autoSpaceDE w:val="0"/>
      <w:autoSpaceDN w:val="0"/>
      <w:adjustRightInd w:val="0"/>
      <w:spacing w:before="315" w:after="90" w:line="480" w:lineRule="auto"/>
      <w:ind w:firstLine="432"/>
      <w:jc w:val="center"/>
      <w:textAlignment w:val="baseline"/>
    </w:pPr>
    <w:rPr>
      <w:rFonts w:ascii="Times New Roman" w:hAnsi="Times New Roman"/>
      <w:b/>
      <w:bCs/>
      <w:color w:val="000000"/>
      <w:sz w:val="32"/>
      <w:szCs w:val="25"/>
      <w:lang w:val="en-US" w:eastAsia="en-IN"/>
    </w:rPr>
  </w:style>
  <w:style w:type="paragraph" w:customStyle="1" w:styleId="bhead">
    <w:name w:val="bhead"/>
    <w:basedOn w:val="Normal"/>
    <w:uiPriority w:val="99"/>
    <w:rsid w:val="00076E3F"/>
    <w:pPr>
      <w:overflowPunct w:val="0"/>
      <w:autoSpaceDE w:val="0"/>
      <w:autoSpaceDN w:val="0"/>
      <w:adjustRightInd w:val="0"/>
      <w:spacing w:before="90" w:after="60"/>
      <w:ind w:firstLine="432"/>
      <w:textAlignment w:val="baseline"/>
    </w:pPr>
    <w:rPr>
      <w:rFonts w:ascii="Adobe Garamond Pro" w:hAnsi="Adobe Garamond Pro"/>
      <w:b/>
      <w:bCs/>
      <w:color w:val="000000"/>
      <w:sz w:val="23"/>
      <w:szCs w:val="23"/>
      <w:lang w:val="en-US" w:eastAsia="en-IN"/>
    </w:rPr>
  </w:style>
  <w:style w:type="paragraph" w:customStyle="1" w:styleId="ext3">
    <w:name w:val="ext3"/>
    <w:basedOn w:val="Normal"/>
    <w:autoRedefine/>
    <w:uiPriority w:val="99"/>
    <w:rsid w:val="00BC454B"/>
    <w:pPr>
      <w:overflowPunct w:val="0"/>
      <w:autoSpaceDE w:val="0"/>
      <w:autoSpaceDN w:val="0"/>
      <w:adjustRightInd w:val="0"/>
      <w:ind w:right="-64"/>
      <w:jc w:val="both"/>
      <w:textAlignment w:val="baseline"/>
    </w:pPr>
    <w:rPr>
      <w:rFonts w:ascii="Times New Roman" w:hAnsi="Times New Roman"/>
      <w:color w:val="000000"/>
      <w:sz w:val="20"/>
      <w:szCs w:val="20"/>
      <w:lang w:val="en-US" w:eastAsia="en-IN"/>
    </w:rPr>
  </w:style>
  <w:style w:type="paragraph" w:customStyle="1" w:styleId="pn">
    <w:name w:val="pn"/>
    <w:basedOn w:val="Normal"/>
    <w:autoRedefine/>
    <w:uiPriority w:val="99"/>
    <w:rsid w:val="00076E3F"/>
    <w:pPr>
      <w:overflowPunct w:val="0"/>
      <w:autoSpaceDE w:val="0"/>
      <w:autoSpaceDN w:val="0"/>
      <w:adjustRightInd w:val="0"/>
      <w:spacing w:after="180" w:line="480" w:lineRule="auto"/>
      <w:ind w:firstLine="432"/>
      <w:jc w:val="center"/>
      <w:textAlignment w:val="baseline"/>
    </w:pPr>
    <w:rPr>
      <w:rFonts w:ascii="Times New Roman" w:hAnsi="Times New Roman"/>
      <w:b/>
      <w:caps/>
      <w:color w:val="000000"/>
      <w:sz w:val="32"/>
      <w:szCs w:val="32"/>
      <w:lang w:val="en-US" w:eastAsia="en-IN"/>
    </w:rPr>
  </w:style>
  <w:style w:type="paragraph" w:customStyle="1" w:styleId="pt">
    <w:name w:val="pt"/>
    <w:basedOn w:val="Normal"/>
    <w:autoRedefine/>
    <w:uiPriority w:val="99"/>
    <w:rsid w:val="00076E3F"/>
    <w:pPr>
      <w:overflowPunct w:val="0"/>
      <w:autoSpaceDE w:val="0"/>
      <w:autoSpaceDN w:val="0"/>
      <w:adjustRightInd w:val="0"/>
      <w:spacing w:line="480" w:lineRule="auto"/>
      <w:ind w:firstLine="432"/>
      <w:jc w:val="center"/>
      <w:textAlignment w:val="baseline"/>
    </w:pPr>
    <w:rPr>
      <w:rFonts w:ascii="Times New Roman" w:hAnsi="Times New Roman"/>
      <w:b/>
      <w:caps/>
      <w:color w:val="000000"/>
      <w:sz w:val="32"/>
      <w:szCs w:val="32"/>
      <w:lang w:val="en-US" w:eastAsia="en-IN"/>
    </w:rPr>
  </w:style>
  <w:style w:type="paragraph" w:customStyle="1" w:styleId="ct">
    <w:name w:val="ct"/>
    <w:basedOn w:val="Normal"/>
    <w:autoRedefine/>
    <w:uiPriority w:val="99"/>
    <w:rsid w:val="00076E3F"/>
    <w:pPr>
      <w:overflowPunct w:val="0"/>
      <w:autoSpaceDE w:val="0"/>
      <w:autoSpaceDN w:val="0"/>
      <w:adjustRightInd w:val="0"/>
      <w:spacing w:after="200" w:line="480" w:lineRule="auto"/>
      <w:ind w:firstLine="432"/>
      <w:jc w:val="center"/>
      <w:textAlignment w:val="baseline"/>
    </w:pPr>
    <w:rPr>
      <w:rFonts w:ascii="Times New Roman" w:hAnsi="Times New Roman"/>
      <w:b/>
      <w:color w:val="000000"/>
      <w:sz w:val="28"/>
      <w:szCs w:val="28"/>
      <w:lang w:val="en-US" w:eastAsia="en-IN"/>
    </w:rPr>
  </w:style>
  <w:style w:type="paragraph" w:customStyle="1" w:styleId="legis">
    <w:name w:val="legis"/>
    <w:basedOn w:val="Normal"/>
    <w:autoRedefine/>
    <w:uiPriority w:val="99"/>
    <w:rsid w:val="00076E3F"/>
    <w:pPr>
      <w:overflowPunct w:val="0"/>
      <w:autoSpaceDE w:val="0"/>
      <w:autoSpaceDN w:val="0"/>
      <w:adjustRightInd w:val="0"/>
      <w:spacing w:line="480" w:lineRule="auto"/>
      <w:jc w:val="both"/>
      <w:textAlignment w:val="baseline"/>
    </w:pPr>
    <w:rPr>
      <w:rFonts w:ascii="Times New Roman" w:hAnsi="Times New Roman"/>
      <w:b/>
      <w:color w:val="000000"/>
      <w:szCs w:val="18"/>
      <w:lang w:val="en-US" w:eastAsia="en-IN"/>
    </w:rPr>
  </w:style>
  <w:style w:type="paragraph" w:customStyle="1" w:styleId="h2">
    <w:name w:val="h2"/>
    <w:basedOn w:val="Normal"/>
    <w:autoRedefine/>
    <w:uiPriority w:val="99"/>
    <w:rsid w:val="00076E3F"/>
    <w:pPr>
      <w:overflowPunct w:val="0"/>
      <w:autoSpaceDE w:val="0"/>
      <w:autoSpaceDN w:val="0"/>
      <w:adjustRightInd w:val="0"/>
      <w:spacing w:after="60" w:line="480" w:lineRule="auto"/>
      <w:ind w:firstLine="432"/>
      <w:textAlignment w:val="baseline"/>
    </w:pPr>
    <w:rPr>
      <w:rFonts w:ascii="Times New Roman" w:hAnsi="Times New Roman"/>
      <w:b/>
      <w:bCs/>
      <w:color w:val="000000"/>
      <w:sz w:val="28"/>
      <w:szCs w:val="23"/>
      <w:lang w:val="en-US" w:eastAsia="en-IN"/>
    </w:rPr>
  </w:style>
  <w:style w:type="paragraph" w:customStyle="1" w:styleId="bib">
    <w:name w:val="bib"/>
    <w:basedOn w:val="Normal"/>
    <w:autoRedefine/>
    <w:uiPriority w:val="99"/>
    <w:rsid w:val="00076E3F"/>
    <w:pPr>
      <w:overflowPunct w:val="0"/>
      <w:autoSpaceDE w:val="0"/>
      <w:autoSpaceDN w:val="0"/>
      <w:adjustRightInd w:val="0"/>
      <w:spacing w:line="480" w:lineRule="auto"/>
      <w:ind w:left="720" w:hanging="720"/>
      <w:jc w:val="both"/>
      <w:textAlignment w:val="baseline"/>
    </w:pPr>
    <w:rPr>
      <w:rFonts w:ascii="Times New Roman" w:hAnsi="Times New Roman"/>
      <w:color w:val="000000"/>
      <w:szCs w:val="18"/>
      <w:lang w:val="en-US" w:eastAsia="en-IN"/>
    </w:rPr>
  </w:style>
  <w:style w:type="character" w:customStyle="1" w:styleId="fn">
    <w:name w:val="fn"/>
    <w:uiPriority w:val="99"/>
    <w:rsid w:val="00076E3F"/>
    <w:rPr>
      <w:vertAlign w:val="superscript"/>
    </w:rPr>
  </w:style>
  <w:style w:type="character" w:customStyle="1" w:styleId="x-italic">
    <w:name w:val="x-italic"/>
    <w:rsid w:val="00076E3F"/>
    <w:rPr>
      <w:i/>
    </w:rPr>
  </w:style>
  <w:style w:type="character" w:customStyle="1" w:styleId="x-sup">
    <w:name w:val="x-sup"/>
    <w:uiPriority w:val="99"/>
    <w:rsid w:val="00076E3F"/>
    <w:rPr>
      <w:vertAlign w:val="superscript"/>
    </w:rPr>
  </w:style>
  <w:style w:type="character" w:customStyle="1" w:styleId="char-style-override-1">
    <w:name w:val="char-style-override-1"/>
    <w:uiPriority w:val="99"/>
    <w:rsid w:val="00076E3F"/>
  </w:style>
  <w:style w:type="character" w:styleId="Hyperlink">
    <w:name w:val="Hyperlink"/>
    <w:basedOn w:val="DefaultParagraphFont"/>
    <w:uiPriority w:val="99"/>
    <w:rsid w:val="00076E3F"/>
    <w:rPr>
      <w:rFonts w:cs="Times New Roman"/>
      <w:color w:val="0000FF"/>
      <w:u w:val="single"/>
    </w:rPr>
  </w:style>
  <w:style w:type="paragraph" w:customStyle="1" w:styleId="ect2">
    <w:name w:val="ect2"/>
    <w:basedOn w:val="Normal"/>
    <w:autoRedefine/>
    <w:uiPriority w:val="99"/>
    <w:rsid w:val="00076E3F"/>
    <w:pPr>
      <w:overflowPunct w:val="0"/>
      <w:autoSpaceDE w:val="0"/>
      <w:autoSpaceDN w:val="0"/>
      <w:adjustRightInd w:val="0"/>
      <w:spacing w:after="90" w:line="480" w:lineRule="auto"/>
      <w:ind w:left="720" w:right="720" w:firstLine="720"/>
      <w:jc w:val="both"/>
      <w:textAlignment w:val="baseline"/>
    </w:pPr>
    <w:rPr>
      <w:rFonts w:ascii="Times New Roman" w:hAnsi="Times New Roman"/>
      <w:color w:val="000000"/>
      <w:szCs w:val="18"/>
      <w:lang w:val="en-US" w:eastAsia="en-IN"/>
    </w:rPr>
  </w:style>
  <w:style w:type="paragraph" w:customStyle="1" w:styleId="ext">
    <w:name w:val="ext"/>
    <w:basedOn w:val="Normal"/>
    <w:autoRedefine/>
    <w:uiPriority w:val="99"/>
    <w:rsid w:val="00076E3F"/>
    <w:pPr>
      <w:overflowPunct w:val="0"/>
      <w:autoSpaceDE w:val="0"/>
      <w:autoSpaceDN w:val="0"/>
      <w:adjustRightInd w:val="0"/>
      <w:spacing w:line="480" w:lineRule="auto"/>
      <w:ind w:left="720" w:right="720" w:firstLine="720"/>
      <w:jc w:val="both"/>
      <w:textAlignment w:val="baseline"/>
    </w:pPr>
    <w:rPr>
      <w:rFonts w:ascii="Times New Roman" w:hAnsi="Times New Roman"/>
      <w:color w:val="000000"/>
      <w:szCs w:val="18"/>
      <w:lang w:val="en-US" w:eastAsia="en-IN"/>
    </w:rPr>
  </w:style>
  <w:style w:type="paragraph" w:customStyle="1" w:styleId="ext1">
    <w:name w:val="ext1"/>
    <w:basedOn w:val="Normal"/>
    <w:autoRedefine/>
    <w:uiPriority w:val="99"/>
    <w:rsid w:val="00076E3F"/>
    <w:pPr>
      <w:overflowPunct w:val="0"/>
      <w:autoSpaceDE w:val="0"/>
      <w:autoSpaceDN w:val="0"/>
      <w:adjustRightInd w:val="0"/>
      <w:spacing w:before="90" w:line="480" w:lineRule="auto"/>
      <w:ind w:left="720" w:right="720" w:firstLine="432"/>
      <w:jc w:val="both"/>
      <w:textAlignment w:val="baseline"/>
    </w:pPr>
    <w:rPr>
      <w:rFonts w:ascii="Times New Roman" w:hAnsi="Times New Roman"/>
      <w:color w:val="000000"/>
      <w:szCs w:val="18"/>
      <w:lang w:val="en-US" w:eastAsia="en-IN"/>
    </w:rPr>
  </w:style>
  <w:style w:type="paragraph" w:customStyle="1" w:styleId="para-style-override-1">
    <w:name w:val="para-style-override-1"/>
    <w:basedOn w:val="Normal"/>
    <w:uiPriority w:val="99"/>
    <w:rsid w:val="00076E3F"/>
    <w:pPr>
      <w:overflowPunct w:val="0"/>
      <w:autoSpaceDE w:val="0"/>
      <w:autoSpaceDN w:val="0"/>
      <w:adjustRightInd w:val="0"/>
      <w:spacing w:before="90" w:after="45"/>
      <w:ind w:firstLine="432"/>
      <w:textAlignment w:val="baseline"/>
    </w:pPr>
    <w:rPr>
      <w:rFonts w:ascii="Times New Roman" w:hAnsi="Times New Roman"/>
      <w:lang w:val="en-US" w:eastAsia="en-IN"/>
    </w:rPr>
  </w:style>
  <w:style w:type="paragraph" w:customStyle="1" w:styleId="para-style-override-2">
    <w:name w:val="para-style-override-2"/>
    <w:basedOn w:val="Normal"/>
    <w:uiPriority w:val="99"/>
    <w:rsid w:val="00076E3F"/>
    <w:pPr>
      <w:overflowPunct w:val="0"/>
      <w:autoSpaceDE w:val="0"/>
      <w:autoSpaceDN w:val="0"/>
      <w:adjustRightInd w:val="0"/>
      <w:spacing w:after="45"/>
      <w:ind w:firstLine="432"/>
      <w:textAlignment w:val="baseline"/>
    </w:pPr>
    <w:rPr>
      <w:rFonts w:ascii="Times New Roman" w:hAnsi="Times New Roman"/>
      <w:lang w:val="en-US" w:eastAsia="en-IN"/>
    </w:rPr>
  </w:style>
  <w:style w:type="paragraph" w:customStyle="1" w:styleId="para-style-override-3">
    <w:name w:val="para-style-override-3"/>
    <w:basedOn w:val="Normal"/>
    <w:uiPriority w:val="99"/>
    <w:rsid w:val="00076E3F"/>
    <w:pPr>
      <w:overflowPunct w:val="0"/>
      <w:autoSpaceDE w:val="0"/>
      <w:autoSpaceDN w:val="0"/>
      <w:adjustRightInd w:val="0"/>
      <w:spacing w:after="90"/>
      <w:ind w:firstLine="432"/>
      <w:textAlignment w:val="baseline"/>
    </w:pPr>
    <w:rPr>
      <w:rFonts w:ascii="Times New Roman" w:hAnsi="Times New Roman"/>
      <w:lang w:val="en-US" w:eastAsia="en-IN"/>
    </w:rPr>
  </w:style>
  <w:style w:type="paragraph" w:customStyle="1" w:styleId="para-style-override-4">
    <w:name w:val="para-style-override-4"/>
    <w:basedOn w:val="Normal"/>
    <w:uiPriority w:val="99"/>
    <w:rsid w:val="00076E3F"/>
    <w:pPr>
      <w:overflowPunct w:val="0"/>
      <w:autoSpaceDE w:val="0"/>
      <w:autoSpaceDN w:val="0"/>
      <w:adjustRightInd w:val="0"/>
      <w:spacing w:before="90" w:after="100" w:afterAutospacing="1"/>
      <w:ind w:firstLine="432"/>
      <w:textAlignment w:val="baseline"/>
    </w:pPr>
    <w:rPr>
      <w:rFonts w:ascii="Times New Roman" w:hAnsi="Times New Roman"/>
      <w:lang w:val="en-US" w:eastAsia="en-IN"/>
    </w:rPr>
  </w:style>
  <w:style w:type="paragraph" w:customStyle="1" w:styleId="para-style-override-5">
    <w:name w:val="para-style-override-5"/>
    <w:basedOn w:val="Normal"/>
    <w:uiPriority w:val="99"/>
    <w:rsid w:val="00076E3F"/>
    <w:pPr>
      <w:overflowPunct w:val="0"/>
      <w:autoSpaceDE w:val="0"/>
      <w:autoSpaceDN w:val="0"/>
      <w:adjustRightInd w:val="0"/>
      <w:spacing w:before="100" w:beforeAutospacing="1" w:after="90"/>
      <w:ind w:firstLine="432"/>
      <w:textAlignment w:val="baseline"/>
    </w:pPr>
    <w:rPr>
      <w:rFonts w:ascii="Times New Roman" w:hAnsi="Times New Roman"/>
      <w:lang w:val="en-US" w:eastAsia="en-IN"/>
    </w:rPr>
  </w:style>
  <w:style w:type="paragraph" w:customStyle="1" w:styleId="para-style-override-6">
    <w:name w:val="para-style-override-6"/>
    <w:basedOn w:val="Normal"/>
    <w:uiPriority w:val="99"/>
    <w:rsid w:val="00076E3F"/>
    <w:pPr>
      <w:overflowPunct w:val="0"/>
      <w:autoSpaceDE w:val="0"/>
      <w:autoSpaceDN w:val="0"/>
      <w:adjustRightInd w:val="0"/>
      <w:spacing w:before="90" w:after="90"/>
      <w:ind w:firstLine="432"/>
      <w:textAlignment w:val="baseline"/>
    </w:pPr>
    <w:rPr>
      <w:rFonts w:ascii="Times New Roman" w:hAnsi="Times New Roman"/>
      <w:lang w:val="en-US" w:eastAsia="en-IN"/>
    </w:rPr>
  </w:style>
  <w:style w:type="paragraph" w:customStyle="1" w:styleId="para-style-override-7">
    <w:name w:val="para-style-override-7"/>
    <w:basedOn w:val="Normal"/>
    <w:uiPriority w:val="99"/>
    <w:rsid w:val="00076E3F"/>
    <w:pPr>
      <w:overflowPunct w:val="0"/>
      <w:autoSpaceDE w:val="0"/>
      <w:autoSpaceDN w:val="0"/>
      <w:adjustRightInd w:val="0"/>
      <w:spacing w:before="30" w:after="100" w:afterAutospacing="1"/>
      <w:ind w:firstLine="432"/>
      <w:textAlignment w:val="baseline"/>
    </w:pPr>
    <w:rPr>
      <w:rFonts w:ascii="Times New Roman" w:hAnsi="Times New Roman"/>
      <w:lang w:val="en-US" w:eastAsia="en-IN"/>
    </w:rPr>
  </w:style>
  <w:style w:type="paragraph" w:customStyle="1" w:styleId="para-style-override-8">
    <w:name w:val="para-style-override-8"/>
    <w:basedOn w:val="Normal"/>
    <w:uiPriority w:val="99"/>
    <w:rsid w:val="00076E3F"/>
    <w:pPr>
      <w:overflowPunct w:val="0"/>
      <w:autoSpaceDE w:val="0"/>
      <w:autoSpaceDN w:val="0"/>
      <w:adjustRightInd w:val="0"/>
      <w:spacing w:before="30" w:after="90"/>
      <w:ind w:firstLine="432"/>
      <w:textAlignment w:val="baseline"/>
    </w:pPr>
    <w:rPr>
      <w:rFonts w:ascii="Times New Roman" w:hAnsi="Times New Roman"/>
      <w:lang w:val="en-US" w:eastAsia="en-IN"/>
    </w:rPr>
  </w:style>
  <w:style w:type="paragraph" w:customStyle="1" w:styleId="para-style-override-9">
    <w:name w:val="para-style-override-9"/>
    <w:basedOn w:val="Normal"/>
    <w:uiPriority w:val="99"/>
    <w:rsid w:val="00076E3F"/>
    <w:pPr>
      <w:overflowPunct w:val="0"/>
      <w:autoSpaceDE w:val="0"/>
      <w:autoSpaceDN w:val="0"/>
      <w:adjustRightInd w:val="0"/>
      <w:spacing w:before="75" w:after="100" w:afterAutospacing="1"/>
      <w:ind w:firstLine="432"/>
      <w:textAlignment w:val="baseline"/>
    </w:pPr>
    <w:rPr>
      <w:rFonts w:ascii="Times New Roman" w:hAnsi="Times New Roman"/>
      <w:lang w:val="en-US" w:eastAsia="en-IN"/>
    </w:rPr>
  </w:style>
  <w:style w:type="paragraph" w:customStyle="1" w:styleId="para-style-override-10">
    <w:name w:val="para-style-override-10"/>
    <w:basedOn w:val="Normal"/>
    <w:uiPriority w:val="99"/>
    <w:rsid w:val="00076E3F"/>
    <w:pPr>
      <w:overflowPunct w:val="0"/>
      <w:autoSpaceDE w:val="0"/>
      <w:autoSpaceDN w:val="0"/>
      <w:adjustRightInd w:val="0"/>
      <w:spacing w:before="60" w:after="100" w:afterAutospacing="1"/>
      <w:ind w:firstLine="432"/>
      <w:textAlignment w:val="baseline"/>
    </w:pPr>
    <w:rPr>
      <w:rFonts w:ascii="Times New Roman" w:hAnsi="Times New Roman"/>
      <w:lang w:val="en-US" w:eastAsia="en-IN"/>
    </w:rPr>
  </w:style>
  <w:style w:type="paragraph" w:customStyle="1" w:styleId="para-style-override-11">
    <w:name w:val="para-style-override-11"/>
    <w:basedOn w:val="Normal"/>
    <w:uiPriority w:val="99"/>
    <w:rsid w:val="00076E3F"/>
    <w:pPr>
      <w:overflowPunct w:val="0"/>
      <w:autoSpaceDE w:val="0"/>
      <w:autoSpaceDN w:val="0"/>
      <w:adjustRightInd w:val="0"/>
      <w:spacing w:before="100" w:beforeAutospacing="1" w:after="75"/>
      <w:ind w:firstLine="432"/>
      <w:textAlignment w:val="baseline"/>
    </w:pPr>
    <w:rPr>
      <w:rFonts w:ascii="Times New Roman" w:hAnsi="Times New Roman"/>
      <w:lang w:val="en-US" w:eastAsia="en-IN"/>
    </w:rPr>
  </w:style>
  <w:style w:type="paragraph" w:customStyle="1" w:styleId="para-style-override-12">
    <w:name w:val="para-style-override-12"/>
    <w:basedOn w:val="Normal"/>
    <w:uiPriority w:val="99"/>
    <w:rsid w:val="00076E3F"/>
    <w:pPr>
      <w:overflowPunct w:val="0"/>
      <w:autoSpaceDE w:val="0"/>
      <w:autoSpaceDN w:val="0"/>
      <w:adjustRightInd w:val="0"/>
      <w:spacing w:before="100" w:beforeAutospacing="1" w:after="100" w:afterAutospacing="1"/>
      <w:ind w:firstLine="165"/>
      <w:textAlignment w:val="baseline"/>
    </w:pPr>
    <w:rPr>
      <w:rFonts w:ascii="Times New Roman" w:hAnsi="Times New Roman"/>
      <w:lang w:val="en-US" w:eastAsia="en-IN"/>
    </w:rPr>
  </w:style>
  <w:style w:type="character" w:customStyle="1" w:styleId="x-semibolditalic">
    <w:name w:val="x-semibolditalic"/>
    <w:uiPriority w:val="99"/>
    <w:rsid w:val="00076E3F"/>
    <w:rPr>
      <w:i/>
    </w:rPr>
  </w:style>
  <w:style w:type="character" w:customStyle="1" w:styleId="char-style-override-2">
    <w:name w:val="char-style-override-2"/>
    <w:uiPriority w:val="99"/>
    <w:rsid w:val="00076E3F"/>
    <w:rPr>
      <w:vertAlign w:val="superscript"/>
    </w:rPr>
  </w:style>
  <w:style w:type="character" w:customStyle="1" w:styleId="char-style-override-3">
    <w:name w:val="char-style-override-3"/>
    <w:uiPriority w:val="99"/>
    <w:rsid w:val="00076E3F"/>
    <w:rPr>
      <w:i/>
    </w:rPr>
  </w:style>
  <w:style w:type="character" w:customStyle="1" w:styleId="char-style-override-4">
    <w:name w:val="char-style-override-4"/>
    <w:uiPriority w:val="99"/>
    <w:rsid w:val="00076E3F"/>
    <w:rPr>
      <w:smallCaps/>
    </w:rPr>
  </w:style>
  <w:style w:type="character" w:styleId="FollowedHyperlink">
    <w:name w:val="FollowedHyperlink"/>
    <w:basedOn w:val="DefaultParagraphFont"/>
    <w:uiPriority w:val="99"/>
    <w:semiHidden/>
    <w:rsid w:val="00076E3F"/>
    <w:rPr>
      <w:rFonts w:cs="Times New Roman"/>
      <w:color w:val="800080"/>
      <w:u w:val="single"/>
    </w:rPr>
  </w:style>
  <w:style w:type="paragraph" w:customStyle="1" w:styleId="basic-paragraph">
    <w:name w:val="basic-paragraph"/>
    <w:basedOn w:val="Normal"/>
    <w:uiPriority w:val="99"/>
    <w:rsid w:val="00076E3F"/>
    <w:pPr>
      <w:overflowPunct w:val="0"/>
      <w:autoSpaceDE w:val="0"/>
      <w:autoSpaceDN w:val="0"/>
      <w:adjustRightInd w:val="0"/>
      <w:ind w:firstLine="432"/>
      <w:textAlignment w:val="baseline"/>
    </w:pPr>
    <w:rPr>
      <w:rFonts w:ascii="Adobe Garamond Pro" w:hAnsi="Adobe Garamond Pro"/>
      <w:color w:val="000000"/>
      <w:sz w:val="20"/>
      <w:szCs w:val="20"/>
      <w:lang w:val="en-US" w:eastAsia="en-IN"/>
    </w:rPr>
  </w:style>
  <w:style w:type="paragraph" w:customStyle="1" w:styleId="para-style-override-13">
    <w:name w:val="para-style-override-13"/>
    <w:basedOn w:val="Normal"/>
    <w:uiPriority w:val="99"/>
    <w:rsid w:val="00076E3F"/>
    <w:pPr>
      <w:overflowPunct w:val="0"/>
      <w:autoSpaceDE w:val="0"/>
      <w:autoSpaceDN w:val="0"/>
      <w:adjustRightInd w:val="0"/>
      <w:spacing w:before="100" w:beforeAutospacing="1" w:after="100" w:afterAutospacing="1"/>
      <w:ind w:firstLine="3420"/>
      <w:textAlignment w:val="baseline"/>
    </w:pPr>
    <w:rPr>
      <w:rFonts w:ascii="Times New Roman" w:hAnsi="Times New Roman"/>
      <w:lang w:val="en-US" w:eastAsia="en-IN"/>
    </w:rPr>
  </w:style>
  <w:style w:type="paragraph" w:customStyle="1" w:styleId="para-style-override-14">
    <w:name w:val="para-style-override-14"/>
    <w:basedOn w:val="Normal"/>
    <w:uiPriority w:val="99"/>
    <w:rsid w:val="00076E3F"/>
    <w:pPr>
      <w:overflowPunct w:val="0"/>
      <w:autoSpaceDE w:val="0"/>
      <w:autoSpaceDN w:val="0"/>
      <w:adjustRightInd w:val="0"/>
      <w:spacing w:before="100" w:beforeAutospacing="1" w:after="100" w:afterAutospacing="1"/>
      <w:ind w:left="900" w:firstLine="432"/>
      <w:textAlignment w:val="baseline"/>
    </w:pPr>
    <w:rPr>
      <w:rFonts w:ascii="Times New Roman" w:hAnsi="Times New Roman"/>
      <w:lang w:val="en-US" w:eastAsia="en-IN"/>
    </w:rPr>
  </w:style>
  <w:style w:type="paragraph" w:customStyle="1" w:styleId="para-style-override-15">
    <w:name w:val="para-style-override-15"/>
    <w:basedOn w:val="Normal"/>
    <w:uiPriority w:val="99"/>
    <w:rsid w:val="00076E3F"/>
    <w:pPr>
      <w:overflowPunct w:val="0"/>
      <w:autoSpaceDE w:val="0"/>
      <w:autoSpaceDN w:val="0"/>
      <w:adjustRightInd w:val="0"/>
      <w:spacing w:before="100" w:beforeAutospacing="1" w:after="100" w:afterAutospacing="1"/>
      <w:ind w:left="2640" w:firstLine="432"/>
      <w:textAlignment w:val="baseline"/>
    </w:pPr>
    <w:rPr>
      <w:rFonts w:ascii="Times New Roman" w:hAnsi="Times New Roman"/>
      <w:lang w:val="en-US" w:eastAsia="en-IN"/>
    </w:rPr>
  </w:style>
  <w:style w:type="paragraph" w:customStyle="1" w:styleId="para-style-override-16">
    <w:name w:val="para-style-override-16"/>
    <w:basedOn w:val="Normal"/>
    <w:uiPriority w:val="99"/>
    <w:rsid w:val="00076E3F"/>
    <w:pPr>
      <w:overflowPunct w:val="0"/>
      <w:autoSpaceDE w:val="0"/>
      <w:autoSpaceDN w:val="0"/>
      <w:adjustRightInd w:val="0"/>
      <w:spacing w:before="100" w:beforeAutospacing="1" w:after="100" w:afterAutospacing="1"/>
      <w:ind w:left="1530" w:firstLine="432"/>
      <w:textAlignment w:val="baseline"/>
    </w:pPr>
    <w:rPr>
      <w:rFonts w:ascii="Times New Roman" w:hAnsi="Times New Roman"/>
      <w:lang w:val="en-US" w:eastAsia="en-IN"/>
    </w:rPr>
  </w:style>
  <w:style w:type="paragraph" w:customStyle="1" w:styleId="para-style-override-17">
    <w:name w:val="para-style-override-17"/>
    <w:basedOn w:val="Normal"/>
    <w:uiPriority w:val="99"/>
    <w:rsid w:val="00076E3F"/>
    <w:pPr>
      <w:overflowPunct w:val="0"/>
      <w:autoSpaceDE w:val="0"/>
      <w:autoSpaceDN w:val="0"/>
      <w:adjustRightInd w:val="0"/>
      <w:spacing w:before="100" w:beforeAutospacing="1" w:after="100" w:afterAutospacing="1"/>
      <w:ind w:left="2760" w:firstLine="432"/>
      <w:textAlignment w:val="baseline"/>
    </w:pPr>
    <w:rPr>
      <w:rFonts w:ascii="Times New Roman" w:hAnsi="Times New Roman"/>
      <w:lang w:val="en-US" w:eastAsia="en-IN"/>
    </w:rPr>
  </w:style>
  <w:style w:type="paragraph" w:customStyle="1" w:styleId="para-style-override-18">
    <w:name w:val="para-style-override-18"/>
    <w:basedOn w:val="Normal"/>
    <w:uiPriority w:val="99"/>
    <w:rsid w:val="00076E3F"/>
    <w:pPr>
      <w:overflowPunct w:val="0"/>
      <w:autoSpaceDE w:val="0"/>
      <w:autoSpaceDN w:val="0"/>
      <w:adjustRightInd w:val="0"/>
      <w:spacing w:before="100" w:beforeAutospacing="1" w:after="100" w:afterAutospacing="1"/>
      <w:ind w:left="45" w:firstLine="432"/>
      <w:textAlignment w:val="baseline"/>
    </w:pPr>
    <w:rPr>
      <w:rFonts w:ascii="Times New Roman" w:hAnsi="Times New Roman"/>
      <w:lang w:val="en-US" w:eastAsia="en-IN"/>
    </w:rPr>
  </w:style>
  <w:style w:type="character" w:customStyle="1" w:styleId="x-semibold">
    <w:name w:val="x-semibold"/>
    <w:uiPriority w:val="99"/>
    <w:rsid w:val="00076E3F"/>
  </w:style>
  <w:style w:type="paragraph" w:customStyle="1" w:styleId="chead">
    <w:name w:val="chead"/>
    <w:basedOn w:val="Normal"/>
    <w:uiPriority w:val="99"/>
    <w:rsid w:val="00076E3F"/>
    <w:pPr>
      <w:overflowPunct w:val="0"/>
      <w:autoSpaceDE w:val="0"/>
      <w:autoSpaceDN w:val="0"/>
      <w:adjustRightInd w:val="0"/>
      <w:spacing w:before="90" w:after="45"/>
      <w:ind w:firstLine="432"/>
      <w:textAlignment w:val="baseline"/>
    </w:pPr>
    <w:rPr>
      <w:rFonts w:ascii="Adobe Garamond Pro" w:hAnsi="Adobe Garamond Pro"/>
      <w:i/>
      <w:iCs/>
      <w:color w:val="000000"/>
      <w:sz w:val="23"/>
      <w:szCs w:val="23"/>
      <w:lang w:val="en-US" w:eastAsia="en-IN"/>
    </w:rPr>
  </w:style>
  <w:style w:type="paragraph" w:customStyle="1" w:styleId="legis-list">
    <w:name w:val="legis-list"/>
    <w:basedOn w:val="Normal"/>
    <w:link w:val="legis-listChar"/>
    <w:uiPriority w:val="99"/>
    <w:rsid w:val="00076E3F"/>
    <w:pPr>
      <w:overflowPunct w:val="0"/>
      <w:autoSpaceDE w:val="0"/>
      <w:autoSpaceDN w:val="0"/>
      <w:adjustRightInd w:val="0"/>
      <w:spacing w:before="45" w:after="45"/>
      <w:ind w:left="135" w:hanging="135"/>
      <w:jc w:val="both"/>
      <w:textAlignment w:val="baseline"/>
    </w:pPr>
    <w:rPr>
      <w:rFonts w:ascii="Adobe Garamond Pro" w:hAnsi="Adobe Garamond Pro"/>
      <w:b/>
      <w:bCs/>
      <w:color w:val="000000"/>
      <w:sz w:val="18"/>
      <w:szCs w:val="18"/>
      <w:lang w:val="en-US" w:eastAsia="en-IN"/>
    </w:rPr>
  </w:style>
  <w:style w:type="character" w:customStyle="1" w:styleId="x-bold">
    <w:name w:val="x-bold"/>
    <w:uiPriority w:val="99"/>
    <w:rsid w:val="00076E3F"/>
    <w:rPr>
      <w:b/>
    </w:rPr>
  </w:style>
  <w:style w:type="paragraph" w:customStyle="1" w:styleId="rh">
    <w:name w:val="rh"/>
    <w:basedOn w:val="Normal"/>
    <w:uiPriority w:val="99"/>
    <w:rsid w:val="00076E3F"/>
    <w:pPr>
      <w:overflowPunct w:val="0"/>
      <w:autoSpaceDE w:val="0"/>
      <w:autoSpaceDN w:val="0"/>
      <w:adjustRightInd w:val="0"/>
      <w:ind w:firstLine="432"/>
      <w:jc w:val="center"/>
      <w:textAlignment w:val="baseline"/>
    </w:pPr>
    <w:rPr>
      <w:rFonts w:ascii="Adobe Garamond Pro" w:hAnsi="Adobe Garamond Pro"/>
      <w:i/>
      <w:iCs/>
      <w:color w:val="000000"/>
      <w:sz w:val="20"/>
      <w:szCs w:val="20"/>
      <w:lang w:val="en-US" w:eastAsia="en-IN"/>
    </w:rPr>
  </w:style>
  <w:style w:type="paragraph" w:customStyle="1" w:styleId="para-style-override-19">
    <w:name w:val="para-style-override-19"/>
    <w:basedOn w:val="Normal"/>
    <w:uiPriority w:val="99"/>
    <w:rsid w:val="00076E3F"/>
    <w:pPr>
      <w:overflowPunct w:val="0"/>
      <w:autoSpaceDE w:val="0"/>
      <w:autoSpaceDN w:val="0"/>
      <w:adjustRightInd w:val="0"/>
      <w:spacing w:before="90" w:after="100" w:afterAutospacing="1"/>
      <w:ind w:firstLine="432"/>
      <w:textAlignment w:val="baseline"/>
    </w:pPr>
    <w:rPr>
      <w:rFonts w:ascii="Times New Roman" w:hAnsi="Times New Roman"/>
      <w:lang w:val="en-US" w:eastAsia="en-IN"/>
    </w:rPr>
  </w:style>
  <w:style w:type="paragraph" w:customStyle="1" w:styleId="para-style-override-20">
    <w:name w:val="para-style-override-20"/>
    <w:basedOn w:val="Normal"/>
    <w:uiPriority w:val="99"/>
    <w:rsid w:val="00076E3F"/>
    <w:pPr>
      <w:overflowPunct w:val="0"/>
      <w:autoSpaceDE w:val="0"/>
      <w:autoSpaceDN w:val="0"/>
      <w:adjustRightInd w:val="0"/>
      <w:spacing w:before="100" w:beforeAutospacing="1" w:after="90"/>
      <w:ind w:firstLine="432"/>
      <w:textAlignment w:val="baseline"/>
    </w:pPr>
    <w:rPr>
      <w:rFonts w:ascii="Times New Roman" w:hAnsi="Times New Roman"/>
      <w:lang w:val="en-US" w:eastAsia="en-IN"/>
    </w:rPr>
  </w:style>
  <w:style w:type="paragraph" w:customStyle="1" w:styleId="para-style-override-21">
    <w:name w:val="para-style-override-21"/>
    <w:basedOn w:val="Normal"/>
    <w:uiPriority w:val="99"/>
    <w:rsid w:val="00076E3F"/>
    <w:pPr>
      <w:overflowPunct w:val="0"/>
      <w:autoSpaceDE w:val="0"/>
      <w:autoSpaceDN w:val="0"/>
      <w:adjustRightInd w:val="0"/>
      <w:spacing w:before="165" w:after="100" w:afterAutospacing="1"/>
      <w:ind w:firstLine="432"/>
      <w:textAlignment w:val="baseline"/>
    </w:pPr>
    <w:rPr>
      <w:rFonts w:ascii="Times New Roman" w:hAnsi="Times New Roman"/>
      <w:lang w:val="en-US" w:eastAsia="en-IN"/>
    </w:rPr>
  </w:style>
  <w:style w:type="paragraph" w:customStyle="1" w:styleId="para-style-override-22">
    <w:name w:val="para-style-override-22"/>
    <w:basedOn w:val="Normal"/>
    <w:uiPriority w:val="99"/>
    <w:rsid w:val="00076E3F"/>
    <w:pPr>
      <w:overflowPunct w:val="0"/>
      <w:autoSpaceDE w:val="0"/>
      <w:autoSpaceDN w:val="0"/>
      <w:adjustRightInd w:val="0"/>
      <w:spacing w:before="100" w:beforeAutospacing="1" w:after="90"/>
      <w:ind w:firstLine="432"/>
      <w:textAlignment w:val="baseline"/>
    </w:pPr>
    <w:rPr>
      <w:rFonts w:ascii="Times New Roman" w:hAnsi="Times New Roman"/>
      <w:lang w:val="en-US" w:eastAsia="en-IN"/>
    </w:rPr>
  </w:style>
  <w:style w:type="paragraph" w:customStyle="1" w:styleId="para-style-override-23">
    <w:name w:val="para-style-override-23"/>
    <w:basedOn w:val="Normal"/>
    <w:uiPriority w:val="99"/>
    <w:rsid w:val="00076E3F"/>
    <w:pPr>
      <w:overflowPunct w:val="0"/>
      <w:autoSpaceDE w:val="0"/>
      <w:autoSpaceDN w:val="0"/>
      <w:adjustRightInd w:val="0"/>
      <w:spacing w:before="210" w:after="100" w:afterAutospacing="1"/>
      <w:ind w:firstLine="432"/>
      <w:textAlignment w:val="baseline"/>
    </w:pPr>
    <w:rPr>
      <w:rFonts w:ascii="Times New Roman" w:hAnsi="Times New Roman"/>
      <w:lang w:val="en-US" w:eastAsia="en-IN"/>
    </w:rPr>
  </w:style>
  <w:style w:type="paragraph" w:customStyle="1" w:styleId="para-style-override-24">
    <w:name w:val="para-style-override-24"/>
    <w:basedOn w:val="Normal"/>
    <w:uiPriority w:val="99"/>
    <w:rsid w:val="00076E3F"/>
    <w:pPr>
      <w:overflowPunct w:val="0"/>
      <w:autoSpaceDE w:val="0"/>
      <w:autoSpaceDN w:val="0"/>
      <w:adjustRightInd w:val="0"/>
      <w:spacing w:before="180" w:after="100" w:afterAutospacing="1"/>
      <w:ind w:firstLine="432"/>
      <w:textAlignment w:val="baseline"/>
    </w:pPr>
    <w:rPr>
      <w:rFonts w:ascii="Times New Roman" w:hAnsi="Times New Roman"/>
      <w:lang w:val="en-US" w:eastAsia="en-IN"/>
    </w:rPr>
  </w:style>
  <w:style w:type="paragraph" w:customStyle="1" w:styleId="para-style-override-25">
    <w:name w:val="para-style-override-25"/>
    <w:basedOn w:val="Normal"/>
    <w:uiPriority w:val="99"/>
    <w:rsid w:val="00076E3F"/>
    <w:pPr>
      <w:overflowPunct w:val="0"/>
      <w:autoSpaceDE w:val="0"/>
      <w:autoSpaceDN w:val="0"/>
      <w:adjustRightInd w:val="0"/>
      <w:spacing w:before="105" w:after="100" w:afterAutospacing="1"/>
      <w:ind w:firstLine="432"/>
      <w:textAlignment w:val="baseline"/>
    </w:pPr>
    <w:rPr>
      <w:rFonts w:ascii="Times New Roman" w:hAnsi="Times New Roman"/>
      <w:lang w:val="en-US" w:eastAsia="en-IN"/>
    </w:rPr>
  </w:style>
  <w:style w:type="paragraph" w:customStyle="1" w:styleId="para-style-override-26">
    <w:name w:val="para-style-override-26"/>
    <w:basedOn w:val="Normal"/>
    <w:uiPriority w:val="99"/>
    <w:rsid w:val="00076E3F"/>
    <w:pPr>
      <w:overflowPunct w:val="0"/>
      <w:autoSpaceDE w:val="0"/>
      <w:autoSpaceDN w:val="0"/>
      <w:adjustRightInd w:val="0"/>
      <w:spacing w:after="100" w:afterAutospacing="1"/>
      <w:ind w:firstLine="432"/>
      <w:textAlignment w:val="baseline"/>
    </w:pPr>
    <w:rPr>
      <w:rFonts w:ascii="Times New Roman" w:hAnsi="Times New Roman"/>
      <w:lang w:val="en-US" w:eastAsia="en-IN"/>
    </w:rPr>
  </w:style>
  <w:style w:type="paragraph" w:customStyle="1" w:styleId="para-style-override-27">
    <w:name w:val="para-style-override-27"/>
    <w:basedOn w:val="Normal"/>
    <w:uiPriority w:val="99"/>
    <w:rsid w:val="00076E3F"/>
    <w:pPr>
      <w:overflowPunct w:val="0"/>
      <w:autoSpaceDE w:val="0"/>
      <w:autoSpaceDN w:val="0"/>
      <w:adjustRightInd w:val="0"/>
      <w:spacing w:before="30" w:after="100" w:afterAutospacing="1"/>
      <w:ind w:firstLine="432"/>
      <w:textAlignment w:val="baseline"/>
    </w:pPr>
    <w:rPr>
      <w:rFonts w:ascii="Times New Roman" w:hAnsi="Times New Roman"/>
      <w:lang w:val="en-US" w:eastAsia="en-IN"/>
    </w:rPr>
  </w:style>
  <w:style w:type="paragraph" w:customStyle="1" w:styleId="para-style-override-28">
    <w:name w:val="para-style-override-28"/>
    <w:basedOn w:val="Normal"/>
    <w:uiPriority w:val="99"/>
    <w:rsid w:val="00076E3F"/>
    <w:pPr>
      <w:overflowPunct w:val="0"/>
      <w:autoSpaceDE w:val="0"/>
      <w:autoSpaceDN w:val="0"/>
      <w:adjustRightInd w:val="0"/>
      <w:spacing w:before="30" w:after="120"/>
      <w:ind w:firstLine="432"/>
      <w:textAlignment w:val="baseline"/>
    </w:pPr>
    <w:rPr>
      <w:rFonts w:ascii="Times New Roman" w:hAnsi="Times New Roman"/>
      <w:lang w:val="en-US" w:eastAsia="en-IN"/>
    </w:rPr>
  </w:style>
  <w:style w:type="paragraph" w:customStyle="1" w:styleId="para-style-override-29">
    <w:name w:val="para-style-override-29"/>
    <w:basedOn w:val="Normal"/>
    <w:uiPriority w:val="99"/>
    <w:rsid w:val="00076E3F"/>
    <w:pPr>
      <w:overflowPunct w:val="0"/>
      <w:autoSpaceDE w:val="0"/>
      <w:autoSpaceDN w:val="0"/>
      <w:adjustRightInd w:val="0"/>
      <w:spacing w:before="100" w:beforeAutospacing="1"/>
      <w:ind w:firstLine="432"/>
      <w:textAlignment w:val="baseline"/>
    </w:pPr>
    <w:rPr>
      <w:rFonts w:ascii="Times New Roman" w:hAnsi="Times New Roman"/>
      <w:lang w:val="en-US" w:eastAsia="en-IN"/>
    </w:rPr>
  </w:style>
  <w:style w:type="paragraph" w:customStyle="1" w:styleId="para-style-override-30">
    <w:name w:val="para-style-override-30"/>
    <w:basedOn w:val="Normal"/>
    <w:uiPriority w:val="99"/>
    <w:rsid w:val="00076E3F"/>
    <w:pPr>
      <w:overflowPunct w:val="0"/>
      <w:autoSpaceDE w:val="0"/>
      <w:autoSpaceDN w:val="0"/>
      <w:adjustRightInd w:val="0"/>
      <w:spacing w:before="135" w:after="100" w:afterAutospacing="1"/>
      <w:ind w:firstLine="432"/>
      <w:textAlignment w:val="baseline"/>
    </w:pPr>
    <w:rPr>
      <w:rFonts w:ascii="Times New Roman" w:hAnsi="Times New Roman"/>
      <w:lang w:val="en-US" w:eastAsia="en-IN"/>
    </w:rPr>
  </w:style>
  <w:style w:type="paragraph" w:customStyle="1" w:styleId="para-style-override-31">
    <w:name w:val="para-style-override-31"/>
    <w:basedOn w:val="Normal"/>
    <w:uiPriority w:val="99"/>
    <w:rsid w:val="00076E3F"/>
    <w:pPr>
      <w:overflowPunct w:val="0"/>
      <w:autoSpaceDE w:val="0"/>
      <w:autoSpaceDN w:val="0"/>
      <w:adjustRightInd w:val="0"/>
      <w:spacing w:before="100" w:beforeAutospacing="1" w:after="45"/>
      <w:ind w:firstLine="432"/>
      <w:textAlignment w:val="baseline"/>
    </w:pPr>
    <w:rPr>
      <w:rFonts w:ascii="Times New Roman" w:hAnsi="Times New Roman"/>
      <w:lang w:val="en-US" w:eastAsia="en-IN"/>
    </w:rPr>
  </w:style>
  <w:style w:type="paragraph" w:customStyle="1" w:styleId="para-style-override-32">
    <w:name w:val="para-style-override-32"/>
    <w:basedOn w:val="Normal"/>
    <w:uiPriority w:val="99"/>
    <w:rsid w:val="00076E3F"/>
    <w:pPr>
      <w:overflowPunct w:val="0"/>
      <w:autoSpaceDE w:val="0"/>
      <w:autoSpaceDN w:val="0"/>
      <w:adjustRightInd w:val="0"/>
      <w:spacing w:before="100" w:beforeAutospacing="1" w:after="100" w:afterAutospacing="1"/>
      <w:ind w:left="30" w:firstLine="432"/>
      <w:textAlignment w:val="baseline"/>
    </w:pPr>
    <w:rPr>
      <w:rFonts w:ascii="Times New Roman" w:hAnsi="Times New Roman"/>
      <w:lang w:val="en-US" w:eastAsia="en-IN"/>
    </w:rPr>
  </w:style>
  <w:style w:type="paragraph" w:customStyle="1" w:styleId="para-style-override-33">
    <w:name w:val="para-style-override-33"/>
    <w:basedOn w:val="Normal"/>
    <w:uiPriority w:val="99"/>
    <w:rsid w:val="00076E3F"/>
    <w:pPr>
      <w:overflowPunct w:val="0"/>
      <w:autoSpaceDE w:val="0"/>
      <w:autoSpaceDN w:val="0"/>
      <w:adjustRightInd w:val="0"/>
      <w:spacing w:before="270" w:after="100" w:afterAutospacing="1"/>
      <w:ind w:firstLine="432"/>
      <w:textAlignment w:val="baseline"/>
    </w:pPr>
    <w:rPr>
      <w:rFonts w:ascii="Times New Roman" w:hAnsi="Times New Roman"/>
      <w:lang w:val="en-US" w:eastAsia="en-IN"/>
    </w:rPr>
  </w:style>
  <w:style w:type="paragraph" w:customStyle="1" w:styleId="para-style-override-34">
    <w:name w:val="para-style-override-34"/>
    <w:basedOn w:val="Normal"/>
    <w:uiPriority w:val="99"/>
    <w:rsid w:val="00076E3F"/>
    <w:pPr>
      <w:overflowPunct w:val="0"/>
      <w:autoSpaceDE w:val="0"/>
      <w:autoSpaceDN w:val="0"/>
      <w:adjustRightInd w:val="0"/>
      <w:spacing w:before="100" w:beforeAutospacing="1" w:after="100" w:afterAutospacing="1"/>
      <w:ind w:left="195" w:firstLine="432"/>
      <w:textAlignment w:val="baseline"/>
    </w:pPr>
    <w:rPr>
      <w:rFonts w:ascii="Times New Roman" w:hAnsi="Times New Roman"/>
      <w:lang w:val="en-US" w:eastAsia="en-IN"/>
    </w:rPr>
  </w:style>
  <w:style w:type="paragraph" w:customStyle="1" w:styleId="para-style-override-35">
    <w:name w:val="para-style-override-35"/>
    <w:basedOn w:val="Normal"/>
    <w:uiPriority w:val="99"/>
    <w:rsid w:val="00076E3F"/>
    <w:pPr>
      <w:overflowPunct w:val="0"/>
      <w:autoSpaceDE w:val="0"/>
      <w:autoSpaceDN w:val="0"/>
      <w:adjustRightInd w:val="0"/>
      <w:spacing w:before="100" w:beforeAutospacing="1" w:after="100" w:afterAutospacing="1"/>
      <w:ind w:left="360" w:hanging="180"/>
      <w:textAlignment w:val="baseline"/>
    </w:pPr>
    <w:rPr>
      <w:rFonts w:ascii="Times New Roman" w:hAnsi="Times New Roman"/>
      <w:lang w:val="en-US" w:eastAsia="en-IN"/>
    </w:rPr>
  </w:style>
  <w:style w:type="paragraph" w:customStyle="1" w:styleId="para-style-override-36">
    <w:name w:val="para-style-override-36"/>
    <w:basedOn w:val="Normal"/>
    <w:uiPriority w:val="99"/>
    <w:rsid w:val="00076E3F"/>
    <w:pPr>
      <w:overflowPunct w:val="0"/>
      <w:autoSpaceDE w:val="0"/>
      <w:autoSpaceDN w:val="0"/>
      <w:adjustRightInd w:val="0"/>
      <w:spacing w:before="100" w:beforeAutospacing="1" w:after="100" w:afterAutospacing="1"/>
      <w:ind w:left="315" w:hanging="180"/>
      <w:textAlignment w:val="baseline"/>
    </w:pPr>
    <w:rPr>
      <w:rFonts w:ascii="Times New Roman" w:hAnsi="Times New Roman"/>
      <w:lang w:val="en-US" w:eastAsia="en-IN"/>
    </w:rPr>
  </w:style>
  <w:style w:type="paragraph" w:customStyle="1" w:styleId="para-style-override-37">
    <w:name w:val="para-style-override-37"/>
    <w:basedOn w:val="Normal"/>
    <w:uiPriority w:val="99"/>
    <w:rsid w:val="00076E3F"/>
    <w:pPr>
      <w:overflowPunct w:val="0"/>
      <w:autoSpaceDE w:val="0"/>
      <w:autoSpaceDN w:val="0"/>
      <w:adjustRightInd w:val="0"/>
      <w:spacing w:before="100" w:beforeAutospacing="1" w:after="90"/>
      <w:ind w:left="315" w:hanging="180"/>
      <w:textAlignment w:val="baseline"/>
    </w:pPr>
    <w:rPr>
      <w:rFonts w:ascii="Times New Roman" w:hAnsi="Times New Roman"/>
      <w:lang w:val="en-US" w:eastAsia="en-IN"/>
    </w:rPr>
  </w:style>
  <w:style w:type="paragraph" w:customStyle="1" w:styleId="para-style-override-38">
    <w:name w:val="para-style-override-38"/>
    <w:basedOn w:val="Normal"/>
    <w:uiPriority w:val="99"/>
    <w:rsid w:val="00076E3F"/>
    <w:pPr>
      <w:overflowPunct w:val="0"/>
      <w:autoSpaceDE w:val="0"/>
      <w:autoSpaceDN w:val="0"/>
      <w:adjustRightInd w:val="0"/>
      <w:spacing w:before="75" w:after="100" w:afterAutospacing="1"/>
      <w:ind w:firstLine="432"/>
      <w:textAlignment w:val="baseline"/>
    </w:pPr>
    <w:rPr>
      <w:rFonts w:ascii="Times New Roman" w:hAnsi="Times New Roman"/>
      <w:lang w:val="en-US" w:eastAsia="en-IN"/>
    </w:rPr>
  </w:style>
  <w:style w:type="paragraph" w:customStyle="1" w:styleId="para-style-override-39">
    <w:name w:val="para-style-override-39"/>
    <w:basedOn w:val="Normal"/>
    <w:uiPriority w:val="99"/>
    <w:rsid w:val="00076E3F"/>
    <w:pPr>
      <w:overflowPunct w:val="0"/>
      <w:autoSpaceDE w:val="0"/>
      <w:autoSpaceDN w:val="0"/>
      <w:adjustRightInd w:val="0"/>
      <w:spacing w:before="100" w:beforeAutospacing="1" w:after="100" w:afterAutospacing="1"/>
      <w:ind w:firstLine="165"/>
      <w:textAlignment w:val="baseline"/>
    </w:pPr>
    <w:rPr>
      <w:rFonts w:ascii="Times New Roman" w:hAnsi="Times New Roman"/>
      <w:lang w:val="en-US" w:eastAsia="en-IN"/>
    </w:rPr>
  </w:style>
  <w:style w:type="paragraph" w:customStyle="1" w:styleId="para-style-override-40">
    <w:name w:val="para-style-override-40"/>
    <w:basedOn w:val="Normal"/>
    <w:uiPriority w:val="99"/>
    <w:rsid w:val="00076E3F"/>
    <w:pPr>
      <w:overflowPunct w:val="0"/>
      <w:autoSpaceDE w:val="0"/>
      <w:autoSpaceDN w:val="0"/>
      <w:adjustRightInd w:val="0"/>
      <w:spacing w:before="100" w:beforeAutospacing="1" w:after="100" w:afterAutospacing="1"/>
      <w:ind w:firstLine="1305"/>
      <w:textAlignment w:val="baseline"/>
    </w:pPr>
    <w:rPr>
      <w:rFonts w:ascii="Times New Roman" w:hAnsi="Times New Roman"/>
      <w:lang w:val="en-US" w:eastAsia="en-IN"/>
    </w:rPr>
  </w:style>
  <w:style w:type="paragraph" w:customStyle="1" w:styleId="para-style-override-41">
    <w:name w:val="para-style-override-41"/>
    <w:basedOn w:val="Normal"/>
    <w:uiPriority w:val="99"/>
    <w:rsid w:val="00076E3F"/>
    <w:pPr>
      <w:overflowPunct w:val="0"/>
      <w:autoSpaceDE w:val="0"/>
      <w:autoSpaceDN w:val="0"/>
      <w:adjustRightInd w:val="0"/>
      <w:spacing w:before="100" w:beforeAutospacing="1" w:after="100" w:afterAutospacing="1"/>
      <w:ind w:firstLine="432"/>
      <w:jc w:val="both"/>
      <w:textAlignment w:val="baseline"/>
    </w:pPr>
    <w:rPr>
      <w:rFonts w:ascii="Times New Roman" w:hAnsi="Times New Roman"/>
      <w:lang w:val="en-US" w:eastAsia="en-IN"/>
    </w:rPr>
  </w:style>
  <w:style w:type="paragraph" w:customStyle="1" w:styleId="para-style-override-42">
    <w:name w:val="para-style-override-42"/>
    <w:basedOn w:val="Normal"/>
    <w:uiPriority w:val="99"/>
    <w:rsid w:val="00076E3F"/>
    <w:pPr>
      <w:overflowPunct w:val="0"/>
      <w:autoSpaceDE w:val="0"/>
      <w:autoSpaceDN w:val="0"/>
      <w:adjustRightInd w:val="0"/>
      <w:spacing w:before="100" w:beforeAutospacing="1" w:after="100" w:afterAutospacing="1"/>
      <w:ind w:firstLine="675"/>
      <w:textAlignment w:val="baseline"/>
    </w:pPr>
    <w:rPr>
      <w:rFonts w:ascii="Times New Roman" w:hAnsi="Times New Roman"/>
      <w:lang w:val="en-US" w:eastAsia="en-IN"/>
    </w:rPr>
  </w:style>
  <w:style w:type="paragraph" w:customStyle="1" w:styleId="para-style-override-43">
    <w:name w:val="para-style-override-43"/>
    <w:basedOn w:val="Normal"/>
    <w:uiPriority w:val="99"/>
    <w:rsid w:val="00076E3F"/>
    <w:pPr>
      <w:overflowPunct w:val="0"/>
      <w:autoSpaceDE w:val="0"/>
      <w:autoSpaceDN w:val="0"/>
      <w:adjustRightInd w:val="0"/>
      <w:spacing w:before="100" w:beforeAutospacing="1" w:after="100" w:afterAutospacing="1"/>
      <w:ind w:firstLine="1455"/>
      <w:textAlignment w:val="baseline"/>
    </w:pPr>
    <w:rPr>
      <w:rFonts w:ascii="Times New Roman" w:hAnsi="Times New Roman"/>
      <w:lang w:val="en-US" w:eastAsia="en-IN"/>
    </w:rPr>
  </w:style>
  <w:style w:type="paragraph" w:customStyle="1" w:styleId="para-style-override-44">
    <w:name w:val="para-style-override-44"/>
    <w:basedOn w:val="Normal"/>
    <w:uiPriority w:val="99"/>
    <w:rsid w:val="00076E3F"/>
    <w:pPr>
      <w:overflowPunct w:val="0"/>
      <w:autoSpaceDE w:val="0"/>
      <w:autoSpaceDN w:val="0"/>
      <w:adjustRightInd w:val="0"/>
      <w:spacing w:before="100" w:beforeAutospacing="1" w:after="100" w:afterAutospacing="1"/>
      <w:ind w:firstLine="2910"/>
      <w:textAlignment w:val="baseline"/>
    </w:pPr>
    <w:rPr>
      <w:rFonts w:ascii="Times New Roman" w:hAnsi="Times New Roman"/>
      <w:lang w:val="en-US" w:eastAsia="en-IN"/>
    </w:rPr>
  </w:style>
  <w:style w:type="character" w:customStyle="1" w:styleId="char-style-override-5">
    <w:name w:val="char-style-override-5"/>
    <w:uiPriority w:val="99"/>
    <w:rsid w:val="00076E3F"/>
    <w:rPr>
      <w:sz w:val="27"/>
      <w:vertAlign w:val="superscript"/>
    </w:rPr>
  </w:style>
  <w:style w:type="character" w:customStyle="1" w:styleId="char-style-override-6">
    <w:name w:val="char-style-override-6"/>
    <w:uiPriority w:val="99"/>
    <w:rsid w:val="00076E3F"/>
    <w:rPr>
      <w:caps/>
    </w:rPr>
  </w:style>
  <w:style w:type="character" w:customStyle="1" w:styleId="char-style-override-7">
    <w:name w:val="char-style-override-7"/>
    <w:uiPriority w:val="99"/>
    <w:rsid w:val="00076E3F"/>
    <w:rPr>
      <w:sz w:val="27"/>
    </w:rPr>
  </w:style>
  <w:style w:type="character" w:customStyle="1" w:styleId="x-bolditalic">
    <w:name w:val="x-bolditalic"/>
    <w:uiPriority w:val="99"/>
    <w:rsid w:val="00076E3F"/>
    <w:rPr>
      <w:b/>
      <w:i/>
    </w:rPr>
  </w:style>
  <w:style w:type="paragraph" w:customStyle="1" w:styleId="legis-text">
    <w:name w:val="legis-text"/>
    <w:basedOn w:val="Normal"/>
    <w:autoRedefine/>
    <w:uiPriority w:val="99"/>
    <w:rsid w:val="00076E3F"/>
    <w:pPr>
      <w:overflowPunct w:val="0"/>
      <w:autoSpaceDE w:val="0"/>
      <w:autoSpaceDN w:val="0"/>
      <w:adjustRightInd w:val="0"/>
      <w:spacing w:line="480" w:lineRule="auto"/>
      <w:ind w:firstLine="432"/>
      <w:jc w:val="both"/>
      <w:textAlignment w:val="baseline"/>
    </w:pPr>
    <w:rPr>
      <w:rFonts w:ascii="Times New Roman" w:hAnsi="Times New Roman"/>
      <w:color w:val="000000"/>
      <w:szCs w:val="18"/>
      <w:lang w:val="en-US" w:eastAsia="en-IN"/>
    </w:rPr>
  </w:style>
  <w:style w:type="paragraph" w:customStyle="1" w:styleId="legis-text1">
    <w:name w:val="legis-text1"/>
    <w:basedOn w:val="Normal"/>
    <w:uiPriority w:val="99"/>
    <w:rsid w:val="00076E3F"/>
    <w:pPr>
      <w:overflowPunct w:val="0"/>
      <w:autoSpaceDE w:val="0"/>
      <w:autoSpaceDN w:val="0"/>
      <w:adjustRightInd w:val="0"/>
      <w:spacing w:before="90"/>
      <w:ind w:firstLine="432"/>
      <w:jc w:val="both"/>
      <w:textAlignment w:val="baseline"/>
    </w:pPr>
    <w:rPr>
      <w:rFonts w:ascii="Adobe Garamond Pro" w:hAnsi="Adobe Garamond Pro"/>
      <w:b/>
      <w:bCs/>
      <w:color w:val="000000"/>
      <w:sz w:val="18"/>
      <w:szCs w:val="18"/>
      <w:lang w:val="en-US" w:eastAsia="en-IN"/>
    </w:rPr>
  </w:style>
  <w:style w:type="paragraph" w:customStyle="1" w:styleId="extract-list">
    <w:name w:val="extract-list"/>
    <w:basedOn w:val="Normal"/>
    <w:uiPriority w:val="99"/>
    <w:rsid w:val="00076E3F"/>
    <w:pPr>
      <w:overflowPunct w:val="0"/>
      <w:autoSpaceDE w:val="0"/>
      <w:autoSpaceDN w:val="0"/>
      <w:adjustRightInd w:val="0"/>
      <w:spacing w:before="90" w:after="90"/>
      <w:ind w:left="135" w:hanging="135"/>
      <w:jc w:val="both"/>
      <w:textAlignment w:val="baseline"/>
    </w:pPr>
    <w:rPr>
      <w:rFonts w:ascii="Adobe Garamond Pro" w:hAnsi="Adobe Garamond Pro"/>
      <w:color w:val="000000"/>
      <w:sz w:val="18"/>
      <w:szCs w:val="18"/>
      <w:lang w:val="en-US" w:eastAsia="en-IN"/>
    </w:rPr>
  </w:style>
  <w:style w:type="character" w:customStyle="1" w:styleId="x-allcaps">
    <w:name w:val="x-allcaps"/>
    <w:uiPriority w:val="99"/>
    <w:rsid w:val="00076E3F"/>
  </w:style>
  <w:style w:type="character" w:customStyle="1" w:styleId="x-smallcaps">
    <w:name w:val="x-smallcaps"/>
    <w:uiPriority w:val="99"/>
    <w:rsid w:val="00076E3F"/>
    <w:rPr>
      <w:color w:val="008080"/>
    </w:rPr>
  </w:style>
  <w:style w:type="character" w:customStyle="1" w:styleId="normal--char">
    <w:name w:val="normal--char"/>
    <w:uiPriority w:val="99"/>
    <w:rsid w:val="00076E3F"/>
  </w:style>
  <w:style w:type="paragraph" w:customStyle="1" w:styleId="legis-sublist">
    <w:name w:val="legis-sublist"/>
    <w:basedOn w:val="Normal"/>
    <w:uiPriority w:val="99"/>
    <w:rsid w:val="00076E3F"/>
    <w:pPr>
      <w:overflowPunct w:val="0"/>
      <w:autoSpaceDE w:val="0"/>
      <w:autoSpaceDN w:val="0"/>
      <w:adjustRightInd w:val="0"/>
      <w:ind w:left="465" w:hanging="225"/>
      <w:jc w:val="both"/>
      <w:textAlignment w:val="baseline"/>
    </w:pPr>
    <w:rPr>
      <w:rFonts w:ascii="Adobe Garamond Pro" w:hAnsi="Adobe Garamond Pro"/>
      <w:b/>
      <w:bCs/>
      <w:color w:val="000000"/>
      <w:sz w:val="18"/>
      <w:szCs w:val="18"/>
      <w:lang w:val="en-US" w:eastAsia="en-IN"/>
    </w:rPr>
  </w:style>
  <w:style w:type="paragraph" w:customStyle="1" w:styleId="legis-list1">
    <w:name w:val="legis-list1"/>
    <w:basedOn w:val="Normal"/>
    <w:link w:val="legis-list1Char"/>
    <w:uiPriority w:val="99"/>
    <w:rsid w:val="00076E3F"/>
    <w:pPr>
      <w:overflowPunct w:val="0"/>
      <w:autoSpaceDE w:val="0"/>
      <w:autoSpaceDN w:val="0"/>
      <w:adjustRightInd w:val="0"/>
      <w:spacing w:before="45"/>
      <w:ind w:left="225" w:hanging="225"/>
      <w:jc w:val="both"/>
      <w:textAlignment w:val="baseline"/>
    </w:pPr>
    <w:rPr>
      <w:rFonts w:ascii="Adobe Garamond Pro" w:hAnsi="Adobe Garamond Pro"/>
      <w:b/>
      <w:bCs/>
      <w:color w:val="000000"/>
      <w:sz w:val="18"/>
      <w:szCs w:val="18"/>
      <w:lang w:val="en-US" w:eastAsia="en-IN"/>
    </w:rPr>
  </w:style>
  <w:style w:type="paragraph" w:customStyle="1" w:styleId="legis-text2">
    <w:name w:val="legis-text2"/>
    <w:basedOn w:val="Normal"/>
    <w:uiPriority w:val="99"/>
    <w:rsid w:val="00076E3F"/>
    <w:pPr>
      <w:overflowPunct w:val="0"/>
      <w:autoSpaceDE w:val="0"/>
      <w:autoSpaceDN w:val="0"/>
      <w:adjustRightInd w:val="0"/>
      <w:spacing w:after="90"/>
      <w:ind w:firstLine="135"/>
      <w:jc w:val="both"/>
      <w:textAlignment w:val="baseline"/>
    </w:pPr>
    <w:rPr>
      <w:rFonts w:ascii="Adobe Garamond Pro" w:hAnsi="Adobe Garamond Pro"/>
      <w:b/>
      <w:bCs/>
      <w:color w:val="000000"/>
      <w:sz w:val="18"/>
      <w:szCs w:val="18"/>
      <w:lang w:val="en-US" w:eastAsia="en-IN"/>
    </w:rPr>
  </w:style>
  <w:style w:type="paragraph" w:customStyle="1" w:styleId="ind-1">
    <w:name w:val="ind-1"/>
    <w:basedOn w:val="Normal"/>
    <w:uiPriority w:val="99"/>
    <w:rsid w:val="00076E3F"/>
    <w:pPr>
      <w:overflowPunct w:val="0"/>
      <w:autoSpaceDE w:val="0"/>
      <w:autoSpaceDN w:val="0"/>
      <w:adjustRightInd w:val="0"/>
      <w:ind w:left="390" w:hanging="390"/>
      <w:textAlignment w:val="baseline"/>
    </w:pPr>
    <w:rPr>
      <w:rFonts w:ascii="Adobe Garamond Pro" w:hAnsi="Adobe Garamond Pro"/>
      <w:b/>
      <w:bCs/>
      <w:color w:val="000000"/>
      <w:sz w:val="18"/>
      <w:szCs w:val="18"/>
      <w:lang w:val="en-US" w:eastAsia="en-IN"/>
    </w:rPr>
  </w:style>
  <w:style w:type="paragraph" w:customStyle="1" w:styleId="ind-2">
    <w:name w:val="ind-2"/>
    <w:basedOn w:val="Normal"/>
    <w:uiPriority w:val="99"/>
    <w:rsid w:val="00076E3F"/>
    <w:pPr>
      <w:overflowPunct w:val="0"/>
      <w:autoSpaceDE w:val="0"/>
      <w:autoSpaceDN w:val="0"/>
      <w:adjustRightInd w:val="0"/>
      <w:ind w:left="375" w:hanging="225"/>
      <w:textAlignment w:val="baseline"/>
    </w:pPr>
    <w:rPr>
      <w:rFonts w:ascii="Adobe Garamond Pro" w:hAnsi="Adobe Garamond Pro"/>
      <w:color w:val="000000"/>
      <w:sz w:val="18"/>
      <w:szCs w:val="18"/>
      <w:lang w:val="en-US" w:eastAsia="en-IN"/>
    </w:rPr>
  </w:style>
  <w:style w:type="paragraph" w:customStyle="1" w:styleId="ind-3">
    <w:name w:val="ind-3"/>
    <w:basedOn w:val="Normal"/>
    <w:uiPriority w:val="99"/>
    <w:rsid w:val="00076E3F"/>
    <w:pPr>
      <w:overflowPunct w:val="0"/>
      <w:autoSpaceDE w:val="0"/>
      <w:autoSpaceDN w:val="0"/>
      <w:adjustRightInd w:val="0"/>
      <w:ind w:left="375" w:hanging="105"/>
      <w:textAlignment w:val="baseline"/>
    </w:pPr>
    <w:rPr>
      <w:rFonts w:ascii="Adobe Garamond Pro" w:hAnsi="Adobe Garamond Pro"/>
      <w:color w:val="000000"/>
      <w:sz w:val="18"/>
      <w:szCs w:val="18"/>
      <w:lang w:val="en-US" w:eastAsia="en-IN"/>
    </w:rPr>
  </w:style>
  <w:style w:type="paragraph" w:customStyle="1" w:styleId="pet">
    <w:name w:val="pet"/>
    <w:basedOn w:val="Normal"/>
    <w:uiPriority w:val="99"/>
    <w:rsid w:val="00076E3F"/>
    <w:pPr>
      <w:overflowPunct w:val="0"/>
      <w:autoSpaceDE w:val="0"/>
      <w:autoSpaceDN w:val="0"/>
      <w:adjustRightInd w:val="0"/>
      <w:ind w:firstLine="432"/>
      <w:jc w:val="center"/>
      <w:textAlignment w:val="baseline"/>
    </w:pPr>
    <w:rPr>
      <w:rFonts w:ascii="Adobe Garamond Pro" w:hAnsi="Adobe Garamond Pro"/>
      <w:i/>
      <w:iCs/>
      <w:color w:val="000000"/>
      <w:sz w:val="36"/>
      <w:szCs w:val="36"/>
      <w:lang w:val="en-US" w:eastAsia="en-IN"/>
    </w:rPr>
  </w:style>
  <w:style w:type="character" w:customStyle="1" w:styleId="se-bold">
    <w:name w:val="se-bold"/>
    <w:uiPriority w:val="99"/>
    <w:rsid w:val="00076E3F"/>
    <w:rPr>
      <w:rFonts w:ascii="Adobe Garamond Pro" w:hAnsi="Adobe Garamond Pro"/>
      <w:b/>
    </w:rPr>
  </w:style>
  <w:style w:type="paragraph" w:styleId="Footer">
    <w:name w:val="footer"/>
    <w:basedOn w:val="Normal"/>
    <w:link w:val="FooterChar"/>
    <w:autoRedefine/>
    <w:uiPriority w:val="99"/>
    <w:rsid w:val="00076E3F"/>
    <w:pPr>
      <w:tabs>
        <w:tab w:val="center" w:pos="4320"/>
        <w:tab w:val="right" w:pos="8640"/>
      </w:tabs>
      <w:overflowPunct w:val="0"/>
      <w:autoSpaceDE w:val="0"/>
      <w:autoSpaceDN w:val="0"/>
      <w:adjustRightInd w:val="0"/>
      <w:spacing w:line="480" w:lineRule="auto"/>
      <w:ind w:firstLine="432"/>
      <w:textAlignment w:val="baseline"/>
    </w:pPr>
    <w:rPr>
      <w:rFonts w:ascii="Times New Roman" w:hAnsi="Times New Roman"/>
      <w:sz w:val="20"/>
      <w:szCs w:val="20"/>
      <w:lang w:val="en-US"/>
    </w:rPr>
  </w:style>
  <w:style w:type="character" w:customStyle="1" w:styleId="FooterChar">
    <w:name w:val="Footer Char"/>
    <w:basedOn w:val="DefaultParagraphFont"/>
    <w:link w:val="Footer"/>
    <w:uiPriority w:val="99"/>
    <w:locked/>
    <w:rsid w:val="00076E3F"/>
    <w:rPr>
      <w:rFonts w:ascii="Times New Roman" w:hAnsi="Times New Roman"/>
      <w:sz w:val="20"/>
    </w:rPr>
  </w:style>
  <w:style w:type="paragraph" w:styleId="List">
    <w:name w:val="List"/>
    <w:basedOn w:val="Normal"/>
    <w:link w:val="ListChar"/>
    <w:autoRedefine/>
    <w:uiPriority w:val="99"/>
    <w:rsid w:val="00076E3F"/>
    <w:pPr>
      <w:spacing w:after="200" w:line="480" w:lineRule="auto"/>
      <w:ind w:left="360" w:hanging="360"/>
    </w:pPr>
    <w:rPr>
      <w:rFonts w:ascii="Times New Roman" w:hAnsi="Times New Roman"/>
      <w:szCs w:val="22"/>
      <w:lang w:val="en-IN"/>
    </w:rPr>
  </w:style>
  <w:style w:type="paragraph" w:customStyle="1" w:styleId="h3">
    <w:name w:val="h3"/>
    <w:basedOn w:val="Normal"/>
    <w:autoRedefine/>
    <w:uiPriority w:val="99"/>
    <w:rsid w:val="00076E3F"/>
    <w:pPr>
      <w:spacing w:before="90" w:after="45" w:line="480" w:lineRule="auto"/>
    </w:pPr>
    <w:rPr>
      <w:rFonts w:ascii="Times New Roman" w:hAnsi="Times New Roman"/>
      <w:i/>
      <w:iCs/>
      <w:color w:val="000000"/>
      <w:szCs w:val="23"/>
      <w:lang w:val="en-IN" w:eastAsia="en-IN"/>
    </w:rPr>
  </w:style>
  <w:style w:type="character" w:customStyle="1" w:styleId="legis-list1Char">
    <w:name w:val="legis-list1 Char"/>
    <w:link w:val="legis-list1"/>
    <w:uiPriority w:val="99"/>
    <w:locked/>
    <w:rsid w:val="00076E3F"/>
    <w:rPr>
      <w:rFonts w:ascii="Adobe Garamond Pro" w:hAnsi="Adobe Garamond Pro"/>
      <w:b/>
      <w:color w:val="000000"/>
      <w:sz w:val="18"/>
      <w:lang w:val="x-none" w:eastAsia="en-IN"/>
    </w:rPr>
  </w:style>
  <w:style w:type="paragraph" w:customStyle="1" w:styleId="legis-list2">
    <w:name w:val="legis-list2"/>
    <w:basedOn w:val="legis-list1"/>
    <w:autoRedefine/>
    <w:uiPriority w:val="99"/>
    <w:rsid w:val="00076E3F"/>
    <w:pPr>
      <w:overflowPunct/>
      <w:autoSpaceDE/>
      <w:autoSpaceDN/>
      <w:adjustRightInd/>
      <w:spacing w:line="480" w:lineRule="auto"/>
      <w:ind w:left="1080" w:hanging="360"/>
      <w:textAlignment w:val="auto"/>
    </w:pPr>
    <w:rPr>
      <w:rFonts w:ascii="Times New Roman" w:hAnsi="Times New Roman"/>
      <w:sz w:val="24"/>
      <w:lang w:val="en-IN"/>
    </w:rPr>
  </w:style>
  <w:style w:type="paragraph" w:customStyle="1" w:styleId="List1">
    <w:name w:val="List1"/>
    <w:basedOn w:val="List"/>
    <w:autoRedefine/>
    <w:uiPriority w:val="99"/>
    <w:rsid w:val="00076E3F"/>
    <w:pPr>
      <w:spacing w:after="0"/>
      <w:ind w:left="720"/>
    </w:pPr>
  </w:style>
  <w:style w:type="character" w:customStyle="1" w:styleId="ListChar">
    <w:name w:val="List Char"/>
    <w:link w:val="List"/>
    <w:uiPriority w:val="99"/>
    <w:locked/>
    <w:rsid w:val="00076E3F"/>
    <w:rPr>
      <w:rFonts w:ascii="Times New Roman" w:hAnsi="Times New Roman"/>
      <w:sz w:val="22"/>
      <w:lang w:val="en-IN" w:eastAsia="x-none"/>
    </w:rPr>
  </w:style>
  <w:style w:type="character" w:customStyle="1" w:styleId="pChar">
    <w:name w:val="p Char"/>
    <w:link w:val="p"/>
    <w:uiPriority w:val="99"/>
    <w:locked/>
    <w:rsid w:val="00B2312E"/>
    <w:rPr>
      <w:rFonts w:ascii="Times New Roman" w:hAnsi="Times New Roman"/>
      <w:color w:val="000000"/>
      <w:sz w:val="24"/>
      <w:szCs w:val="24"/>
      <w:lang w:val="en-US" w:eastAsia="en-IN"/>
    </w:rPr>
  </w:style>
  <w:style w:type="paragraph" w:customStyle="1" w:styleId="Stylelegis-textBold">
    <w:name w:val="Style legis-text + Bold"/>
    <w:basedOn w:val="legis-text"/>
    <w:autoRedefine/>
    <w:uiPriority w:val="99"/>
    <w:rsid w:val="00076E3F"/>
    <w:pPr>
      <w:overflowPunct/>
      <w:autoSpaceDE/>
      <w:autoSpaceDN/>
      <w:adjustRightInd/>
      <w:spacing w:before="45"/>
      <w:ind w:firstLine="0"/>
      <w:textAlignment w:val="auto"/>
    </w:pPr>
    <w:rPr>
      <w:rFonts w:ascii="Times New Roman Bold" w:hAnsi="Times New Roman Bold"/>
      <w:bCs/>
      <w:lang w:val="en-IN"/>
    </w:rPr>
  </w:style>
  <w:style w:type="paragraph" w:customStyle="1" w:styleId="list10">
    <w:name w:val="list 1"/>
    <w:basedOn w:val="List"/>
    <w:autoRedefine/>
    <w:uiPriority w:val="99"/>
    <w:rsid w:val="00076E3F"/>
    <w:pPr>
      <w:ind w:left="720"/>
    </w:pPr>
  </w:style>
  <w:style w:type="character" w:customStyle="1" w:styleId="legis-listChar">
    <w:name w:val="legis-list Char"/>
    <w:link w:val="legis-list"/>
    <w:uiPriority w:val="99"/>
    <w:locked/>
    <w:rsid w:val="00076E3F"/>
    <w:rPr>
      <w:rFonts w:ascii="Adobe Garamond Pro" w:hAnsi="Adobe Garamond Pro"/>
      <w:b/>
      <w:color w:val="000000"/>
      <w:sz w:val="18"/>
      <w:lang w:val="x-none" w:eastAsia="en-IN"/>
    </w:rPr>
  </w:style>
  <w:style w:type="paragraph" w:customStyle="1" w:styleId="bl">
    <w:name w:val="bl"/>
    <w:basedOn w:val="Normal"/>
    <w:uiPriority w:val="99"/>
    <w:rsid w:val="00076E3F"/>
    <w:pPr>
      <w:spacing w:before="90" w:line="480" w:lineRule="auto"/>
      <w:ind w:left="360" w:hanging="360"/>
      <w:jc w:val="both"/>
    </w:pPr>
    <w:rPr>
      <w:rFonts w:ascii="Times New Roman" w:hAnsi="Times New Roman"/>
      <w:color w:val="000000"/>
      <w:szCs w:val="18"/>
      <w:lang w:val="en-US" w:eastAsia="en-IN"/>
    </w:rPr>
  </w:style>
  <w:style w:type="character" w:customStyle="1" w:styleId="x-supchar-style-override-1">
    <w:name w:val="x-sup char-style-override-1"/>
    <w:uiPriority w:val="99"/>
    <w:rsid w:val="00076E3F"/>
  </w:style>
  <w:style w:type="character" w:customStyle="1" w:styleId="x-semibolditalicchar-style-override-3">
    <w:name w:val="x-semibolditalic char-style-override-3"/>
    <w:uiPriority w:val="99"/>
    <w:rsid w:val="00076E3F"/>
  </w:style>
  <w:style w:type="paragraph" w:customStyle="1" w:styleId="legis-textpara-style-override-3">
    <w:name w:val="legis-text para-style-override-3"/>
    <w:basedOn w:val="Normal"/>
    <w:uiPriority w:val="99"/>
    <w:rsid w:val="00076E3F"/>
    <w:pPr>
      <w:spacing w:before="100" w:beforeAutospacing="1" w:after="100" w:afterAutospacing="1"/>
    </w:pPr>
    <w:rPr>
      <w:rFonts w:ascii="Times New Roman" w:hAnsi="Times New Roman"/>
      <w:lang w:val="en-US"/>
    </w:rPr>
  </w:style>
  <w:style w:type="paragraph" w:customStyle="1" w:styleId="legispara-style-override-4">
    <w:name w:val="legis para-style-override-4"/>
    <w:basedOn w:val="Normal"/>
    <w:uiPriority w:val="99"/>
    <w:rsid w:val="00076E3F"/>
    <w:pPr>
      <w:spacing w:before="100" w:beforeAutospacing="1" w:after="100" w:afterAutospacing="1"/>
    </w:pPr>
    <w:rPr>
      <w:rFonts w:ascii="Times New Roman" w:hAnsi="Times New Roman"/>
      <w:lang w:val="en-US"/>
    </w:rPr>
  </w:style>
  <w:style w:type="paragraph" w:customStyle="1" w:styleId="legis-text2para-style-override-4">
    <w:name w:val="legis-text2 para-style-override-4"/>
    <w:basedOn w:val="Normal"/>
    <w:uiPriority w:val="99"/>
    <w:rsid w:val="00076E3F"/>
    <w:pPr>
      <w:spacing w:before="100" w:beforeAutospacing="1" w:after="100" w:afterAutospacing="1"/>
    </w:pPr>
    <w:rPr>
      <w:rFonts w:ascii="Times New Roman" w:hAnsi="Times New Roman"/>
      <w:lang w:val="en-US"/>
    </w:rPr>
  </w:style>
  <w:style w:type="character" w:customStyle="1" w:styleId="x-italicchar-style-override-2">
    <w:name w:val="x-italic char-style-override-2"/>
    <w:uiPriority w:val="99"/>
    <w:rsid w:val="00076E3F"/>
  </w:style>
  <w:style w:type="paragraph" w:customStyle="1" w:styleId="bheadpara-style-override-6">
    <w:name w:val="bhead para-style-override-6"/>
    <w:basedOn w:val="Normal"/>
    <w:uiPriority w:val="99"/>
    <w:rsid w:val="00076E3F"/>
    <w:pPr>
      <w:spacing w:before="100" w:beforeAutospacing="1" w:after="100" w:afterAutospacing="1"/>
    </w:pPr>
    <w:rPr>
      <w:rFonts w:ascii="Times New Roman" w:hAnsi="Times New Roman"/>
      <w:lang w:val="en-US"/>
    </w:rPr>
  </w:style>
  <w:style w:type="character" w:customStyle="1" w:styleId="x-boldchar-style-override-2">
    <w:name w:val="x-bold char-style-override-2"/>
    <w:uiPriority w:val="99"/>
    <w:rsid w:val="00076E3F"/>
  </w:style>
  <w:style w:type="character" w:customStyle="1" w:styleId="x-supfn">
    <w:name w:val="x-sup fn"/>
    <w:uiPriority w:val="99"/>
    <w:rsid w:val="00076E3F"/>
  </w:style>
  <w:style w:type="paragraph" w:customStyle="1" w:styleId="fm-half-title">
    <w:name w:val="fm-half-title"/>
    <w:basedOn w:val="Normal"/>
    <w:autoRedefine/>
    <w:uiPriority w:val="99"/>
    <w:rsid w:val="00076E3F"/>
    <w:pPr>
      <w:spacing w:after="149" w:line="480" w:lineRule="auto"/>
      <w:jc w:val="center"/>
    </w:pPr>
    <w:rPr>
      <w:rFonts w:ascii="Times New Roman" w:hAnsi="Times New Roman"/>
      <w:b/>
      <w:caps/>
      <w:color w:val="000000"/>
      <w:lang w:val="en-US"/>
    </w:rPr>
  </w:style>
  <w:style w:type="paragraph" w:customStyle="1" w:styleId="fm-author">
    <w:name w:val="fm-author"/>
    <w:basedOn w:val="Normal"/>
    <w:autoRedefine/>
    <w:uiPriority w:val="99"/>
    <w:rsid w:val="00076E3F"/>
    <w:pPr>
      <w:spacing w:before="300" w:line="480" w:lineRule="auto"/>
      <w:jc w:val="center"/>
    </w:pPr>
    <w:rPr>
      <w:rFonts w:ascii="Times New Roman" w:hAnsi="Times New Roman"/>
      <w:caps/>
      <w:color w:val="000000"/>
      <w:sz w:val="28"/>
      <w:szCs w:val="28"/>
      <w:lang w:val="en-US"/>
    </w:rPr>
  </w:style>
  <w:style w:type="paragraph" w:customStyle="1" w:styleId="fm-halftitle-text">
    <w:name w:val="fm-halftitle-text"/>
    <w:basedOn w:val="Normal"/>
    <w:autoRedefine/>
    <w:uiPriority w:val="99"/>
    <w:rsid w:val="00076E3F"/>
    <w:pPr>
      <w:spacing w:line="480" w:lineRule="auto"/>
      <w:jc w:val="center"/>
    </w:pPr>
    <w:rPr>
      <w:rFonts w:ascii="Times New Roman" w:hAnsi="Times New Roman"/>
      <w:color w:val="000000"/>
      <w:szCs w:val="18"/>
      <w:lang w:val="en-US"/>
    </w:rPr>
  </w:style>
  <w:style w:type="paragraph" w:customStyle="1" w:styleId="fm-halftitle">
    <w:name w:val="fm-halftitle"/>
    <w:basedOn w:val="Normal"/>
    <w:autoRedefine/>
    <w:uiPriority w:val="99"/>
    <w:rsid w:val="00076E3F"/>
    <w:pPr>
      <w:spacing w:before="900" w:line="480" w:lineRule="auto"/>
      <w:jc w:val="center"/>
    </w:pPr>
    <w:rPr>
      <w:rFonts w:ascii="Times New Roman" w:hAnsi="Times New Roman"/>
      <w:sz w:val="36"/>
      <w:lang w:val="en-US"/>
    </w:rPr>
  </w:style>
  <w:style w:type="paragraph" w:customStyle="1" w:styleId="copy">
    <w:name w:val="copy"/>
    <w:basedOn w:val="Normal"/>
    <w:autoRedefine/>
    <w:uiPriority w:val="99"/>
    <w:rsid w:val="00076E3F"/>
    <w:pPr>
      <w:spacing w:line="480" w:lineRule="auto"/>
      <w:jc w:val="center"/>
    </w:pPr>
    <w:rPr>
      <w:rFonts w:ascii="Times New Roman" w:hAnsi="Times New Roman"/>
      <w:lang w:val="en-US"/>
    </w:rPr>
  </w:style>
  <w:style w:type="paragraph" w:customStyle="1" w:styleId="fm-title">
    <w:name w:val="fm-title"/>
    <w:basedOn w:val="Normal"/>
    <w:autoRedefine/>
    <w:uiPriority w:val="99"/>
    <w:rsid w:val="00076E3F"/>
    <w:pPr>
      <w:spacing w:line="480" w:lineRule="auto"/>
      <w:jc w:val="center"/>
    </w:pPr>
    <w:rPr>
      <w:rFonts w:ascii="Times New Roman" w:hAnsi="Times New Roman"/>
      <w:color w:val="000000"/>
      <w:sz w:val="64"/>
      <w:szCs w:val="64"/>
      <w:lang w:val="en-US"/>
    </w:rPr>
  </w:style>
  <w:style w:type="paragraph" w:customStyle="1" w:styleId="textindpara-style-override-3">
    <w:name w:val="textind para-style-override-3"/>
    <w:basedOn w:val="Normal"/>
    <w:uiPriority w:val="99"/>
    <w:rsid w:val="00076E3F"/>
    <w:pPr>
      <w:spacing w:before="100" w:beforeAutospacing="1" w:after="100" w:afterAutospacing="1"/>
    </w:pPr>
    <w:rPr>
      <w:rFonts w:ascii="Times New Roman" w:hAnsi="Times New Roman"/>
      <w:lang w:val="en-US"/>
    </w:rPr>
  </w:style>
  <w:style w:type="paragraph" w:customStyle="1" w:styleId="fm-imprintpara-style-override-5">
    <w:name w:val="fm-imprint para-style-override-5"/>
    <w:basedOn w:val="Normal"/>
    <w:uiPriority w:val="99"/>
    <w:rsid w:val="00076E3F"/>
    <w:pPr>
      <w:spacing w:before="100" w:beforeAutospacing="1" w:after="100" w:afterAutospacing="1"/>
    </w:pPr>
    <w:rPr>
      <w:rFonts w:ascii="Times New Roman" w:hAnsi="Times New Roman"/>
      <w:lang w:val="en-US"/>
    </w:rPr>
  </w:style>
  <w:style w:type="paragraph" w:customStyle="1" w:styleId="fm-imprintpara-style-override-6">
    <w:name w:val="fm-imprint para-style-override-6"/>
    <w:basedOn w:val="Normal"/>
    <w:uiPriority w:val="99"/>
    <w:rsid w:val="00076E3F"/>
    <w:pPr>
      <w:spacing w:before="100" w:beforeAutospacing="1" w:after="100" w:afterAutospacing="1"/>
    </w:pPr>
    <w:rPr>
      <w:rFonts w:ascii="Times New Roman" w:hAnsi="Times New Roman"/>
      <w:lang w:val="en-US"/>
    </w:rPr>
  </w:style>
  <w:style w:type="paragraph" w:customStyle="1" w:styleId="textpara-style-override-17">
    <w:name w:val="text para-style-override-17"/>
    <w:basedOn w:val="Normal"/>
    <w:uiPriority w:val="99"/>
    <w:rsid w:val="00076E3F"/>
    <w:pPr>
      <w:spacing w:before="100" w:beforeAutospacing="1" w:after="100" w:afterAutospacing="1"/>
    </w:pPr>
    <w:rPr>
      <w:rFonts w:ascii="Times New Roman" w:hAnsi="Times New Roman"/>
      <w:lang w:val="en-US"/>
    </w:rPr>
  </w:style>
  <w:style w:type="paragraph" w:customStyle="1" w:styleId="textpara-style-override-18">
    <w:name w:val="text para-style-override-18"/>
    <w:basedOn w:val="Normal"/>
    <w:uiPriority w:val="99"/>
    <w:rsid w:val="00076E3F"/>
    <w:pPr>
      <w:spacing w:before="100" w:beforeAutospacing="1" w:after="100" w:afterAutospacing="1"/>
    </w:pPr>
    <w:rPr>
      <w:rFonts w:ascii="Times New Roman" w:hAnsi="Times New Roman"/>
      <w:lang w:val="en-US"/>
    </w:rPr>
  </w:style>
  <w:style w:type="paragraph" w:customStyle="1" w:styleId="footnotepara-style-override-19">
    <w:name w:val="footnote para-style-override-19"/>
    <w:basedOn w:val="Normal"/>
    <w:uiPriority w:val="99"/>
    <w:rsid w:val="00076E3F"/>
    <w:pPr>
      <w:spacing w:before="100" w:beforeAutospacing="1" w:after="100" w:afterAutospacing="1"/>
    </w:pPr>
    <w:rPr>
      <w:rFonts w:ascii="Times New Roman" w:hAnsi="Times New Roman"/>
      <w:lang w:val="en-US"/>
    </w:rPr>
  </w:style>
  <w:style w:type="paragraph" w:customStyle="1" w:styleId="content-prelims">
    <w:name w:val="content-prelims"/>
    <w:basedOn w:val="Normal"/>
    <w:autoRedefine/>
    <w:uiPriority w:val="99"/>
    <w:rsid w:val="00076E3F"/>
    <w:pPr>
      <w:spacing w:line="480" w:lineRule="auto"/>
    </w:pPr>
    <w:rPr>
      <w:rFonts w:ascii="Times New Roman" w:hAnsi="Times New Roman"/>
      <w:i/>
      <w:iCs/>
      <w:color w:val="000000"/>
      <w:szCs w:val="22"/>
      <w:lang w:val="en-US"/>
    </w:rPr>
  </w:style>
  <w:style w:type="paragraph" w:customStyle="1" w:styleId="content-aheadpara-style-override-11">
    <w:name w:val="content-ahead para-style-override-11"/>
    <w:basedOn w:val="Normal"/>
    <w:uiPriority w:val="99"/>
    <w:rsid w:val="00076E3F"/>
    <w:pPr>
      <w:spacing w:before="100" w:beforeAutospacing="1" w:after="100" w:afterAutospacing="1"/>
    </w:pPr>
    <w:rPr>
      <w:rFonts w:ascii="Times New Roman" w:hAnsi="Times New Roman"/>
      <w:lang w:val="en-US"/>
    </w:rPr>
  </w:style>
  <w:style w:type="paragraph" w:customStyle="1" w:styleId="content-partpara-style-override-12">
    <w:name w:val="content-part para-style-override-12"/>
    <w:basedOn w:val="Normal"/>
    <w:uiPriority w:val="99"/>
    <w:rsid w:val="00076E3F"/>
    <w:pPr>
      <w:spacing w:before="100" w:beforeAutospacing="1" w:after="100" w:afterAutospacing="1"/>
    </w:pPr>
    <w:rPr>
      <w:rFonts w:ascii="Times New Roman" w:hAnsi="Times New Roman"/>
      <w:lang w:val="en-US"/>
    </w:rPr>
  </w:style>
  <w:style w:type="paragraph" w:customStyle="1" w:styleId="content-ahead">
    <w:name w:val="content-ahead"/>
    <w:basedOn w:val="Normal"/>
    <w:autoRedefine/>
    <w:uiPriority w:val="99"/>
    <w:rsid w:val="00076E3F"/>
    <w:pPr>
      <w:spacing w:line="480" w:lineRule="auto"/>
    </w:pPr>
    <w:rPr>
      <w:rFonts w:ascii="Times New Roman" w:hAnsi="Times New Roman"/>
      <w:b/>
      <w:bCs/>
      <w:color w:val="000000"/>
      <w:szCs w:val="22"/>
      <w:lang w:val="en-US"/>
    </w:rPr>
  </w:style>
  <w:style w:type="paragraph" w:customStyle="1" w:styleId="content-part">
    <w:name w:val="content-part"/>
    <w:basedOn w:val="Normal"/>
    <w:autoRedefine/>
    <w:uiPriority w:val="99"/>
    <w:rsid w:val="00076E3F"/>
    <w:pPr>
      <w:spacing w:before="160" w:after="160" w:line="480" w:lineRule="auto"/>
    </w:pPr>
    <w:rPr>
      <w:rFonts w:ascii="Times New Roman" w:hAnsi="Times New Roman"/>
      <w:caps/>
      <w:color w:val="000000"/>
      <w:szCs w:val="22"/>
      <w:lang w:val="en-US"/>
    </w:rPr>
  </w:style>
  <w:style w:type="character" w:customStyle="1" w:styleId="char-style-override-8">
    <w:name w:val="char-style-override-8"/>
    <w:uiPriority w:val="99"/>
    <w:rsid w:val="00076E3F"/>
    <w:rPr>
      <w:i/>
    </w:rPr>
  </w:style>
  <w:style w:type="paragraph" w:customStyle="1" w:styleId="content-partpara-style-override-13">
    <w:name w:val="content-part para-style-override-13"/>
    <w:basedOn w:val="Normal"/>
    <w:uiPriority w:val="99"/>
    <w:rsid w:val="00076E3F"/>
    <w:pPr>
      <w:spacing w:before="100" w:beforeAutospacing="1" w:after="100" w:afterAutospacing="1"/>
    </w:pPr>
    <w:rPr>
      <w:rFonts w:ascii="Times New Roman" w:hAnsi="Times New Roman"/>
      <w:lang w:val="en-US"/>
    </w:rPr>
  </w:style>
  <w:style w:type="paragraph" w:customStyle="1" w:styleId="content-prelimspara-style-override-15">
    <w:name w:val="content-prelims para-style-override-15"/>
    <w:basedOn w:val="Normal"/>
    <w:uiPriority w:val="99"/>
    <w:rsid w:val="00076E3F"/>
    <w:pPr>
      <w:spacing w:before="100" w:beforeAutospacing="1" w:after="100" w:afterAutospacing="1"/>
    </w:pPr>
    <w:rPr>
      <w:rFonts w:ascii="Times New Roman" w:hAnsi="Times New Roman"/>
      <w:lang w:val="en-US"/>
    </w:rPr>
  </w:style>
  <w:style w:type="paragraph" w:customStyle="1" w:styleId="illustration">
    <w:name w:val="illustration"/>
    <w:basedOn w:val="Normal"/>
    <w:autoRedefine/>
    <w:uiPriority w:val="99"/>
    <w:rsid w:val="00076E3F"/>
    <w:pPr>
      <w:spacing w:line="480" w:lineRule="auto"/>
    </w:pPr>
    <w:rPr>
      <w:rFonts w:ascii="Times New Roman" w:hAnsi="Times New Roman"/>
      <w:color w:val="000000"/>
      <w:szCs w:val="20"/>
      <w:lang w:val="en-US"/>
    </w:rPr>
  </w:style>
  <w:style w:type="character" w:customStyle="1" w:styleId="char-style-override-9">
    <w:name w:val="char-style-override-9"/>
    <w:uiPriority w:val="99"/>
    <w:rsid w:val="00076E3F"/>
    <w:rPr>
      <w:vertAlign w:val="superscript"/>
    </w:rPr>
  </w:style>
  <w:style w:type="paragraph" w:customStyle="1" w:styleId="textpara-style-override-21">
    <w:name w:val="text para-style-override-21"/>
    <w:basedOn w:val="Normal"/>
    <w:uiPriority w:val="99"/>
    <w:rsid w:val="00076E3F"/>
    <w:pPr>
      <w:spacing w:before="100" w:beforeAutospacing="1" w:after="100" w:afterAutospacing="1"/>
    </w:pPr>
    <w:rPr>
      <w:rFonts w:ascii="Times New Roman" w:hAnsi="Times New Roman"/>
      <w:lang w:val="en-US"/>
    </w:rPr>
  </w:style>
  <w:style w:type="paragraph" w:customStyle="1" w:styleId="StyleillustrationLinespacingAtleast34pt">
    <w:name w:val="Style illustration + Line spacing:  At least 3.4 pt"/>
    <w:basedOn w:val="illustration"/>
    <w:autoRedefine/>
    <w:uiPriority w:val="99"/>
    <w:rsid w:val="00076E3F"/>
  </w:style>
  <w:style w:type="character" w:customStyle="1" w:styleId="Stylefolio12ptBlack">
    <w:name w:val="Style folio + 12 pt Black"/>
    <w:uiPriority w:val="99"/>
    <w:rsid w:val="00076E3F"/>
    <w:rPr>
      <w:rFonts w:ascii="Times New Roman" w:hAnsi="Times New Roman"/>
      <w:color w:val="000000"/>
      <w:sz w:val="24"/>
    </w:rPr>
  </w:style>
  <w:style w:type="paragraph" w:styleId="NormalWeb">
    <w:name w:val="Normal (Web)"/>
    <w:basedOn w:val="Normal"/>
    <w:uiPriority w:val="99"/>
    <w:rsid w:val="00076E3F"/>
    <w:pPr>
      <w:spacing w:before="100" w:beforeAutospacing="1" w:after="100" w:afterAutospacing="1"/>
    </w:pPr>
    <w:rPr>
      <w:rFonts w:ascii="Times New Roman" w:eastAsia="SimSun" w:hAnsi="Times New Roman"/>
    </w:rPr>
  </w:style>
  <w:style w:type="character" w:customStyle="1" w:styleId="small">
    <w:name w:val="small"/>
    <w:uiPriority w:val="99"/>
    <w:rsid w:val="00076E3F"/>
  </w:style>
  <w:style w:type="character" w:styleId="PageNumber">
    <w:name w:val="page number"/>
    <w:basedOn w:val="DefaultParagraphFont"/>
    <w:uiPriority w:val="99"/>
    <w:rsid w:val="00076E3F"/>
    <w:rPr>
      <w:rFonts w:cs="Times New Roman"/>
    </w:rPr>
  </w:style>
  <w:style w:type="character" w:customStyle="1" w:styleId="FootnoteTextChar1">
    <w:name w:val="Footnote Text Char1"/>
    <w:aliases w:val="Footnote Text Char Char,FA Char11,FA Fußnotentext Char2,Footnote Text Char Char Char Char Char2,Note de bas de page Car Car Char2,FA Char Char,FA3 Char1,F Char"/>
    <w:uiPriority w:val="99"/>
    <w:rsid w:val="00076E3F"/>
    <w:rPr>
      <w:sz w:val="16"/>
      <w:lang w:val="en-US" w:eastAsia="en-US"/>
    </w:rPr>
  </w:style>
  <w:style w:type="character" w:styleId="CommentReference">
    <w:name w:val="annotation reference"/>
    <w:basedOn w:val="DefaultParagraphFont"/>
    <w:uiPriority w:val="99"/>
    <w:semiHidden/>
    <w:rsid w:val="00076E3F"/>
    <w:rPr>
      <w:rFonts w:cs="Times New Roman"/>
      <w:sz w:val="18"/>
    </w:rPr>
  </w:style>
  <w:style w:type="paragraph" w:styleId="CommentText">
    <w:name w:val="annotation text"/>
    <w:basedOn w:val="Normal"/>
    <w:link w:val="CommentTextChar"/>
    <w:uiPriority w:val="99"/>
    <w:semiHidden/>
    <w:rsid w:val="00076E3F"/>
    <w:pPr>
      <w:overflowPunct w:val="0"/>
      <w:autoSpaceDE w:val="0"/>
      <w:autoSpaceDN w:val="0"/>
      <w:adjustRightInd w:val="0"/>
      <w:ind w:firstLine="432"/>
      <w:textAlignment w:val="baseline"/>
    </w:pPr>
    <w:rPr>
      <w:rFonts w:ascii="Times New Roman" w:hAnsi="Times New Roman"/>
      <w:lang w:val="en-US"/>
    </w:rPr>
  </w:style>
  <w:style w:type="character" w:customStyle="1" w:styleId="CommentTextChar">
    <w:name w:val="Comment Text Char"/>
    <w:basedOn w:val="DefaultParagraphFont"/>
    <w:link w:val="CommentText"/>
    <w:uiPriority w:val="99"/>
    <w:semiHidden/>
    <w:locked/>
    <w:rsid w:val="00076E3F"/>
    <w:rPr>
      <w:rFonts w:ascii="Times New Roman" w:hAnsi="Times New Roman"/>
    </w:rPr>
  </w:style>
  <w:style w:type="paragraph" w:styleId="CommentSubject">
    <w:name w:val="annotation subject"/>
    <w:basedOn w:val="CommentText"/>
    <w:next w:val="CommentText"/>
    <w:link w:val="CommentSubjectChar"/>
    <w:uiPriority w:val="99"/>
    <w:semiHidden/>
    <w:rsid w:val="00076E3F"/>
    <w:rPr>
      <w:b/>
      <w:bCs/>
      <w:sz w:val="20"/>
      <w:szCs w:val="20"/>
    </w:rPr>
  </w:style>
  <w:style w:type="character" w:customStyle="1" w:styleId="CommentSubjectChar">
    <w:name w:val="Comment Subject Char"/>
    <w:basedOn w:val="CommentTextChar"/>
    <w:link w:val="CommentSubject"/>
    <w:uiPriority w:val="99"/>
    <w:semiHidden/>
    <w:locked/>
    <w:rsid w:val="00076E3F"/>
    <w:rPr>
      <w:rFonts w:ascii="Times New Roman" w:hAnsi="Times New Roman"/>
      <w:b/>
      <w:sz w:val="20"/>
    </w:rPr>
  </w:style>
  <w:style w:type="paragraph" w:styleId="Revision">
    <w:name w:val="Revision"/>
    <w:hidden/>
    <w:uiPriority w:val="99"/>
    <w:semiHidden/>
    <w:rsid w:val="00076E3F"/>
    <w:rPr>
      <w:rFonts w:ascii="Times New Roman" w:hAnsi="Times New Roman"/>
      <w:sz w:val="20"/>
      <w:szCs w:val="20"/>
      <w:lang w:val="en-US" w:eastAsia="en-US"/>
    </w:rPr>
  </w:style>
  <w:style w:type="table" w:styleId="LightShading-Accent1">
    <w:name w:val="Light Shading Accent 1"/>
    <w:basedOn w:val="TableNormal"/>
    <w:uiPriority w:val="99"/>
    <w:rsid w:val="00715152"/>
    <w:rPr>
      <w:color w:val="365F91"/>
      <w:sz w:val="20"/>
      <w:szCs w:val="20"/>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Strong">
    <w:name w:val="Strong"/>
    <w:basedOn w:val="DefaultParagraphFont"/>
    <w:uiPriority w:val="99"/>
    <w:qFormat/>
    <w:rsid w:val="005E66B8"/>
    <w:rPr>
      <w:rFonts w:cs="Times New Roman"/>
      <w:b/>
    </w:rPr>
  </w:style>
  <w:style w:type="character" w:customStyle="1" w:styleId="st">
    <w:name w:val="st"/>
    <w:uiPriority w:val="99"/>
    <w:rsid w:val="00B14917"/>
  </w:style>
  <w:style w:type="character" w:styleId="Emphasis">
    <w:name w:val="Emphasis"/>
    <w:basedOn w:val="DefaultParagraphFont"/>
    <w:uiPriority w:val="99"/>
    <w:qFormat/>
    <w:rsid w:val="00B14917"/>
    <w:rPr>
      <w:rFonts w:cs="Times New Roman"/>
      <w:i/>
    </w:rPr>
  </w:style>
  <w:style w:type="paragraph" w:styleId="ListParagraph">
    <w:name w:val="List Paragraph"/>
    <w:basedOn w:val="Normal"/>
    <w:uiPriority w:val="34"/>
    <w:qFormat/>
    <w:rsid w:val="00647555"/>
    <w:pPr>
      <w:ind w:left="720"/>
      <w:contextualSpacing/>
    </w:pPr>
  </w:style>
  <w:style w:type="table" w:styleId="TableGrid">
    <w:name w:val="Table Grid"/>
    <w:basedOn w:val="TableNormal"/>
    <w:uiPriority w:val="99"/>
    <w:rsid w:val="002573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492794">
      <w:marLeft w:val="0"/>
      <w:marRight w:val="0"/>
      <w:marTop w:val="0"/>
      <w:marBottom w:val="0"/>
      <w:divBdr>
        <w:top w:val="none" w:sz="0" w:space="0" w:color="auto"/>
        <w:left w:val="none" w:sz="0" w:space="0" w:color="auto"/>
        <w:bottom w:val="none" w:sz="0" w:space="0" w:color="auto"/>
        <w:right w:val="none" w:sz="0" w:space="0" w:color="auto"/>
      </w:divBdr>
    </w:div>
    <w:div w:id="601492798">
      <w:marLeft w:val="0"/>
      <w:marRight w:val="0"/>
      <w:marTop w:val="0"/>
      <w:marBottom w:val="0"/>
      <w:divBdr>
        <w:top w:val="none" w:sz="0" w:space="0" w:color="auto"/>
        <w:left w:val="none" w:sz="0" w:space="0" w:color="auto"/>
        <w:bottom w:val="none" w:sz="0" w:space="0" w:color="auto"/>
        <w:right w:val="none" w:sz="0" w:space="0" w:color="auto"/>
      </w:divBdr>
    </w:div>
    <w:div w:id="601492799">
      <w:marLeft w:val="0"/>
      <w:marRight w:val="0"/>
      <w:marTop w:val="0"/>
      <w:marBottom w:val="0"/>
      <w:divBdr>
        <w:top w:val="none" w:sz="0" w:space="0" w:color="auto"/>
        <w:left w:val="none" w:sz="0" w:space="0" w:color="auto"/>
        <w:bottom w:val="none" w:sz="0" w:space="0" w:color="auto"/>
        <w:right w:val="none" w:sz="0" w:space="0" w:color="auto"/>
      </w:divBdr>
      <w:divsChild>
        <w:div w:id="601492800">
          <w:marLeft w:val="0"/>
          <w:marRight w:val="0"/>
          <w:marTop w:val="0"/>
          <w:marBottom w:val="0"/>
          <w:divBdr>
            <w:top w:val="none" w:sz="0" w:space="0" w:color="auto"/>
            <w:left w:val="none" w:sz="0" w:space="0" w:color="auto"/>
            <w:bottom w:val="none" w:sz="0" w:space="0" w:color="auto"/>
            <w:right w:val="none" w:sz="0" w:space="0" w:color="auto"/>
          </w:divBdr>
        </w:div>
        <w:div w:id="601492802">
          <w:marLeft w:val="0"/>
          <w:marRight w:val="0"/>
          <w:marTop w:val="0"/>
          <w:marBottom w:val="0"/>
          <w:divBdr>
            <w:top w:val="none" w:sz="0" w:space="0" w:color="auto"/>
            <w:left w:val="none" w:sz="0" w:space="0" w:color="auto"/>
            <w:bottom w:val="none" w:sz="0" w:space="0" w:color="auto"/>
            <w:right w:val="none" w:sz="0" w:space="0" w:color="auto"/>
          </w:divBdr>
        </w:div>
      </w:divsChild>
    </w:div>
    <w:div w:id="601492803">
      <w:marLeft w:val="0"/>
      <w:marRight w:val="0"/>
      <w:marTop w:val="0"/>
      <w:marBottom w:val="0"/>
      <w:divBdr>
        <w:top w:val="none" w:sz="0" w:space="0" w:color="auto"/>
        <w:left w:val="none" w:sz="0" w:space="0" w:color="auto"/>
        <w:bottom w:val="none" w:sz="0" w:space="0" w:color="auto"/>
        <w:right w:val="none" w:sz="0" w:space="0" w:color="auto"/>
      </w:divBdr>
    </w:div>
    <w:div w:id="601492806">
      <w:marLeft w:val="0"/>
      <w:marRight w:val="0"/>
      <w:marTop w:val="0"/>
      <w:marBottom w:val="0"/>
      <w:divBdr>
        <w:top w:val="none" w:sz="0" w:space="0" w:color="auto"/>
        <w:left w:val="none" w:sz="0" w:space="0" w:color="auto"/>
        <w:bottom w:val="none" w:sz="0" w:space="0" w:color="auto"/>
        <w:right w:val="none" w:sz="0" w:space="0" w:color="auto"/>
      </w:divBdr>
      <w:divsChild>
        <w:div w:id="601492814">
          <w:marLeft w:val="0"/>
          <w:marRight w:val="0"/>
          <w:marTop w:val="0"/>
          <w:marBottom w:val="0"/>
          <w:divBdr>
            <w:top w:val="none" w:sz="0" w:space="0" w:color="auto"/>
            <w:left w:val="none" w:sz="0" w:space="0" w:color="auto"/>
            <w:bottom w:val="none" w:sz="0" w:space="0" w:color="auto"/>
            <w:right w:val="none" w:sz="0" w:space="0" w:color="auto"/>
          </w:divBdr>
        </w:div>
        <w:div w:id="601492815">
          <w:marLeft w:val="0"/>
          <w:marRight w:val="0"/>
          <w:marTop w:val="0"/>
          <w:marBottom w:val="0"/>
          <w:divBdr>
            <w:top w:val="none" w:sz="0" w:space="0" w:color="auto"/>
            <w:left w:val="none" w:sz="0" w:space="0" w:color="auto"/>
            <w:bottom w:val="none" w:sz="0" w:space="0" w:color="auto"/>
            <w:right w:val="none" w:sz="0" w:space="0" w:color="auto"/>
          </w:divBdr>
        </w:div>
        <w:div w:id="601492833">
          <w:marLeft w:val="0"/>
          <w:marRight w:val="0"/>
          <w:marTop w:val="0"/>
          <w:marBottom w:val="0"/>
          <w:divBdr>
            <w:top w:val="none" w:sz="0" w:space="0" w:color="auto"/>
            <w:left w:val="none" w:sz="0" w:space="0" w:color="auto"/>
            <w:bottom w:val="none" w:sz="0" w:space="0" w:color="auto"/>
            <w:right w:val="none" w:sz="0" w:space="0" w:color="auto"/>
          </w:divBdr>
        </w:div>
        <w:div w:id="601492836">
          <w:marLeft w:val="0"/>
          <w:marRight w:val="0"/>
          <w:marTop w:val="0"/>
          <w:marBottom w:val="0"/>
          <w:divBdr>
            <w:top w:val="none" w:sz="0" w:space="0" w:color="auto"/>
            <w:left w:val="none" w:sz="0" w:space="0" w:color="auto"/>
            <w:bottom w:val="none" w:sz="0" w:space="0" w:color="auto"/>
            <w:right w:val="none" w:sz="0" w:space="0" w:color="auto"/>
          </w:divBdr>
        </w:div>
      </w:divsChild>
    </w:div>
    <w:div w:id="601492809">
      <w:marLeft w:val="0"/>
      <w:marRight w:val="0"/>
      <w:marTop w:val="0"/>
      <w:marBottom w:val="0"/>
      <w:divBdr>
        <w:top w:val="none" w:sz="0" w:space="0" w:color="auto"/>
        <w:left w:val="none" w:sz="0" w:space="0" w:color="auto"/>
        <w:bottom w:val="none" w:sz="0" w:space="0" w:color="auto"/>
        <w:right w:val="none" w:sz="0" w:space="0" w:color="auto"/>
      </w:divBdr>
    </w:div>
    <w:div w:id="601492810">
      <w:marLeft w:val="0"/>
      <w:marRight w:val="0"/>
      <w:marTop w:val="0"/>
      <w:marBottom w:val="0"/>
      <w:divBdr>
        <w:top w:val="none" w:sz="0" w:space="0" w:color="auto"/>
        <w:left w:val="none" w:sz="0" w:space="0" w:color="auto"/>
        <w:bottom w:val="none" w:sz="0" w:space="0" w:color="auto"/>
        <w:right w:val="none" w:sz="0" w:space="0" w:color="auto"/>
      </w:divBdr>
    </w:div>
    <w:div w:id="601492811">
      <w:marLeft w:val="0"/>
      <w:marRight w:val="0"/>
      <w:marTop w:val="0"/>
      <w:marBottom w:val="0"/>
      <w:divBdr>
        <w:top w:val="none" w:sz="0" w:space="0" w:color="auto"/>
        <w:left w:val="none" w:sz="0" w:space="0" w:color="auto"/>
        <w:bottom w:val="none" w:sz="0" w:space="0" w:color="auto"/>
        <w:right w:val="none" w:sz="0" w:space="0" w:color="auto"/>
      </w:divBdr>
    </w:div>
    <w:div w:id="601492813">
      <w:marLeft w:val="0"/>
      <w:marRight w:val="0"/>
      <w:marTop w:val="0"/>
      <w:marBottom w:val="0"/>
      <w:divBdr>
        <w:top w:val="none" w:sz="0" w:space="0" w:color="auto"/>
        <w:left w:val="none" w:sz="0" w:space="0" w:color="auto"/>
        <w:bottom w:val="none" w:sz="0" w:space="0" w:color="auto"/>
        <w:right w:val="none" w:sz="0" w:space="0" w:color="auto"/>
      </w:divBdr>
    </w:div>
    <w:div w:id="601492816">
      <w:marLeft w:val="0"/>
      <w:marRight w:val="0"/>
      <w:marTop w:val="0"/>
      <w:marBottom w:val="0"/>
      <w:divBdr>
        <w:top w:val="none" w:sz="0" w:space="0" w:color="auto"/>
        <w:left w:val="none" w:sz="0" w:space="0" w:color="auto"/>
        <w:bottom w:val="none" w:sz="0" w:space="0" w:color="auto"/>
        <w:right w:val="none" w:sz="0" w:space="0" w:color="auto"/>
      </w:divBdr>
      <w:divsChild>
        <w:div w:id="601492807">
          <w:marLeft w:val="0"/>
          <w:marRight w:val="0"/>
          <w:marTop w:val="0"/>
          <w:marBottom w:val="0"/>
          <w:divBdr>
            <w:top w:val="none" w:sz="0" w:space="0" w:color="auto"/>
            <w:left w:val="none" w:sz="0" w:space="0" w:color="auto"/>
            <w:bottom w:val="none" w:sz="0" w:space="0" w:color="auto"/>
            <w:right w:val="none" w:sz="0" w:space="0" w:color="auto"/>
          </w:divBdr>
        </w:div>
        <w:div w:id="601492808">
          <w:marLeft w:val="0"/>
          <w:marRight w:val="0"/>
          <w:marTop w:val="0"/>
          <w:marBottom w:val="0"/>
          <w:divBdr>
            <w:top w:val="none" w:sz="0" w:space="0" w:color="auto"/>
            <w:left w:val="none" w:sz="0" w:space="0" w:color="auto"/>
            <w:bottom w:val="none" w:sz="0" w:space="0" w:color="auto"/>
            <w:right w:val="none" w:sz="0" w:space="0" w:color="auto"/>
          </w:divBdr>
        </w:div>
        <w:div w:id="601492825">
          <w:marLeft w:val="0"/>
          <w:marRight w:val="0"/>
          <w:marTop w:val="0"/>
          <w:marBottom w:val="0"/>
          <w:divBdr>
            <w:top w:val="none" w:sz="0" w:space="0" w:color="auto"/>
            <w:left w:val="none" w:sz="0" w:space="0" w:color="auto"/>
            <w:bottom w:val="none" w:sz="0" w:space="0" w:color="auto"/>
            <w:right w:val="none" w:sz="0" w:space="0" w:color="auto"/>
          </w:divBdr>
        </w:div>
        <w:div w:id="601492827">
          <w:marLeft w:val="0"/>
          <w:marRight w:val="0"/>
          <w:marTop w:val="0"/>
          <w:marBottom w:val="0"/>
          <w:divBdr>
            <w:top w:val="none" w:sz="0" w:space="0" w:color="auto"/>
            <w:left w:val="none" w:sz="0" w:space="0" w:color="auto"/>
            <w:bottom w:val="none" w:sz="0" w:space="0" w:color="auto"/>
            <w:right w:val="none" w:sz="0" w:space="0" w:color="auto"/>
          </w:divBdr>
        </w:div>
      </w:divsChild>
    </w:div>
    <w:div w:id="601492819">
      <w:marLeft w:val="0"/>
      <w:marRight w:val="0"/>
      <w:marTop w:val="0"/>
      <w:marBottom w:val="0"/>
      <w:divBdr>
        <w:top w:val="none" w:sz="0" w:space="0" w:color="auto"/>
        <w:left w:val="none" w:sz="0" w:space="0" w:color="auto"/>
        <w:bottom w:val="none" w:sz="0" w:space="0" w:color="auto"/>
        <w:right w:val="none" w:sz="0" w:space="0" w:color="auto"/>
      </w:divBdr>
    </w:div>
    <w:div w:id="601492823">
      <w:marLeft w:val="0"/>
      <w:marRight w:val="0"/>
      <w:marTop w:val="0"/>
      <w:marBottom w:val="0"/>
      <w:divBdr>
        <w:top w:val="none" w:sz="0" w:space="0" w:color="auto"/>
        <w:left w:val="none" w:sz="0" w:space="0" w:color="auto"/>
        <w:bottom w:val="none" w:sz="0" w:space="0" w:color="auto"/>
        <w:right w:val="none" w:sz="0" w:space="0" w:color="auto"/>
      </w:divBdr>
    </w:div>
    <w:div w:id="601492830">
      <w:marLeft w:val="0"/>
      <w:marRight w:val="0"/>
      <w:marTop w:val="0"/>
      <w:marBottom w:val="0"/>
      <w:divBdr>
        <w:top w:val="none" w:sz="0" w:space="0" w:color="auto"/>
        <w:left w:val="none" w:sz="0" w:space="0" w:color="auto"/>
        <w:bottom w:val="none" w:sz="0" w:space="0" w:color="auto"/>
        <w:right w:val="none" w:sz="0" w:space="0" w:color="auto"/>
      </w:divBdr>
    </w:div>
    <w:div w:id="601492831">
      <w:marLeft w:val="0"/>
      <w:marRight w:val="0"/>
      <w:marTop w:val="0"/>
      <w:marBottom w:val="0"/>
      <w:divBdr>
        <w:top w:val="none" w:sz="0" w:space="0" w:color="auto"/>
        <w:left w:val="none" w:sz="0" w:space="0" w:color="auto"/>
        <w:bottom w:val="none" w:sz="0" w:space="0" w:color="auto"/>
        <w:right w:val="none" w:sz="0" w:space="0" w:color="auto"/>
      </w:divBdr>
    </w:div>
    <w:div w:id="601492834">
      <w:marLeft w:val="0"/>
      <w:marRight w:val="0"/>
      <w:marTop w:val="0"/>
      <w:marBottom w:val="0"/>
      <w:divBdr>
        <w:top w:val="none" w:sz="0" w:space="0" w:color="auto"/>
        <w:left w:val="none" w:sz="0" w:space="0" w:color="auto"/>
        <w:bottom w:val="none" w:sz="0" w:space="0" w:color="auto"/>
        <w:right w:val="none" w:sz="0" w:space="0" w:color="auto"/>
      </w:divBdr>
      <w:divsChild>
        <w:div w:id="601492795">
          <w:marLeft w:val="0"/>
          <w:marRight w:val="0"/>
          <w:marTop w:val="0"/>
          <w:marBottom w:val="0"/>
          <w:divBdr>
            <w:top w:val="none" w:sz="0" w:space="0" w:color="auto"/>
            <w:left w:val="none" w:sz="0" w:space="0" w:color="auto"/>
            <w:bottom w:val="none" w:sz="0" w:space="0" w:color="auto"/>
            <w:right w:val="none" w:sz="0" w:space="0" w:color="auto"/>
          </w:divBdr>
        </w:div>
        <w:div w:id="601492801">
          <w:marLeft w:val="0"/>
          <w:marRight w:val="0"/>
          <w:marTop w:val="0"/>
          <w:marBottom w:val="0"/>
          <w:divBdr>
            <w:top w:val="none" w:sz="0" w:space="0" w:color="auto"/>
            <w:left w:val="none" w:sz="0" w:space="0" w:color="auto"/>
            <w:bottom w:val="none" w:sz="0" w:space="0" w:color="auto"/>
            <w:right w:val="none" w:sz="0" w:space="0" w:color="auto"/>
          </w:divBdr>
        </w:div>
        <w:div w:id="601492817">
          <w:marLeft w:val="0"/>
          <w:marRight w:val="0"/>
          <w:marTop w:val="0"/>
          <w:marBottom w:val="0"/>
          <w:divBdr>
            <w:top w:val="none" w:sz="0" w:space="0" w:color="auto"/>
            <w:left w:val="none" w:sz="0" w:space="0" w:color="auto"/>
            <w:bottom w:val="none" w:sz="0" w:space="0" w:color="auto"/>
            <w:right w:val="none" w:sz="0" w:space="0" w:color="auto"/>
          </w:divBdr>
        </w:div>
        <w:div w:id="601492818">
          <w:marLeft w:val="0"/>
          <w:marRight w:val="0"/>
          <w:marTop w:val="0"/>
          <w:marBottom w:val="0"/>
          <w:divBdr>
            <w:top w:val="none" w:sz="0" w:space="0" w:color="auto"/>
            <w:left w:val="none" w:sz="0" w:space="0" w:color="auto"/>
            <w:bottom w:val="none" w:sz="0" w:space="0" w:color="auto"/>
            <w:right w:val="none" w:sz="0" w:space="0" w:color="auto"/>
          </w:divBdr>
        </w:div>
        <w:div w:id="601492820">
          <w:marLeft w:val="0"/>
          <w:marRight w:val="0"/>
          <w:marTop w:val="0"/>
          <w:marBottom w:val="0"/>
          <w:divBdr>
            <w:top w:val="none" w:sz="0" w:space="0" w:color="auto"/>
            <w:left w:val="none" w:sz="0" w:space="0" w:color="auto"/>
            <w:bottom w:val="none" w:sz="0" w:space="0" w:color="auto"/>
            <w:right w:val="none" w:sz="0" w:space="0" w:color="auto"/>
          </w:divBdr>
        </w:div>
        <w:div w:id="601492822">
          <w:marLeft w:val="0"/>
          <w:marRight w:val="0"/>
          <w:marTop w:val="0"/>
          <w:marBottom w:val="0"/>
          <w:divBdr>
            <w:top w:val="none" w:sz="0" w:space="0" w:color="auto"/>
            <w:left w:val="none" w:sz="0" w:space="0" w:color="auto"/>
            <w:bottom w:val="none" w:sz="0" w:space="0" w:color="auto"/>
            <w:right w:val="none" w:sz="0" w:space="0" w:color="auto"/>
          </w:divBdr>
        </w:div>
        <w:div w:id="601492824">
          <w:marLeft w:val="0"/>
          <w:marRight w:val="0"/>
          <w:marTop w:val="0"/>
          <w:marBottom w:val="0"/>
          <w:divBdr>
            <w:top w:val="none" w:sz="0" w:space="0" w:color="auto"/>
            <w:left w:val="none" w:sz="0" w:space="0" w:color="auto"/>
            <w:bottom w:val="none" w:sz="0" w:space="0" w:color="auto"/>
            <w:right w:val="none" w:sz="0" w:space="0" w:color="auto"/>
          </w:divBdr>
        </w:div>
        <w:div w:id="601492826">
          <w:marLeft w:val="0"/>
          <w:marRight w:val="0"/>
          <w:marTop w:val="0"/>
          <w:marBottom w:val="0"/>
          <w:divBdr>
            <w:top w:val="none" w:sz="0" w:space="0" w:color="auto"/>
            <w:left w:val="none" w:sz="0" w:space="0" w:color="auto"/>
            <w:bottom w:val="none" w:sz="0" w:space="0" w:color="auto"/>
            <w:right w:val="none" w:sz="0" w:space="0" w:color="auto"/>
          </w:divBdr>
        </w:div>
        <w:div w:id="601492828">
          <w:marLeft w:val="0"/>
          <w:marRight w:val="0"/>
          <w:marTop w:val="0"/>
          <w:marBottom w:val="0"/>
          <w:divBdr>
            <w:top w:val="none" w:sz="0" w:space="0" w:color="auto"/>
            <w:left w:val="none" w:sz="0" w:space="0" w:color="auto"/>
            <w:bottom w:val="none" w:sz="0" w:space="0" w:color="auto"/>
            <w:right w:val="none" w:sz="0" w:space="0" w:color="auto"/>
          </w:divBdr>
        </w:div>
        <w:div w:id="601492829">
          <w:marLeft w:val="0"/>
          <w:marRight w:val="0"/>
          <w:marTop w:val="0"/>
          <w:marBottom w:val="0"/>
          <w:divBdr>
            <w:top w:val="none" w:sz="0" w:space="0" w:color="auto"/>
            <w:left w:val="none" w:sz="0" w:space="0" w:color="auto"/>
            <w:bottom w:val="none" w:sz="0" w:space="0" w:color="auto"/>
            <w:right w:val="none" w:sz="0" w:space="0" w:color="auto"/>
          </w:divBdr>
        </w:div>
        <w:div w:id="601492835">
          <w:marLeft w:val="0"/>
          <w:marRight w:val="0"/>
          <w:marTop w:val="0"/>
          <w:marBottom w:val="0"/>
          <w:divBdr>
            <w:top w:val="none" w:sz="0" w:space="0" w:color="auto"/>
            <w:left w:val="none" w:sz="0" w:space="0" w:color="auto"/>
            <w:bottom w:val="none" w:sz="0" w:space="0" w:color="auto"/>
            <w:right w:val="none" w:sz="0" w:space="0" w:color="auto"/>
          </w:divBdr>
        </w:div>
      </w:divsChild>
    </w:div>
    <w:div w:id="601492837">
      <w:marLeft w:val="0"/>
      <w:marRight w:val="0"/>
      <w:marTop w:val="0"/>
      <w:marBottom w:val="0"/>
      <w:divBdr>
        <w:top w:val="none" w:sz="0" w:space="0" w:color="auto"/>
        <w:left w:val="none" w:sz="0" w:space="0" w:color="auto"/>
        <w:bottom w:val="none" w:sz="0" w:space="0" w:color="auto"/>
        <w:right w:val="none" w:sz="0" w:space="0" w:color="auto"/>
      </w:divBdr>
    </w:div>
    <w:div w:id="601492838">
      <w:marLeft w:val="0"/>
      <w:marRight w:val="0"/>
      <w:marTop w:val="0"/>
      <w:marBottom w:val="0"/>
      <w:divBdr>
        <w:top w:val="none" w:sz="0" w:space="0" w:color="auto"/>
        <w:left w:val="none" w:sz="0" w:space="0" w:color="auto"/>
        <w:bottom w:val="none" w:sz="0" w:space="0" w:color="auto"/>
        <w:right w:val="none" w:sz="0" w:space="0" w:color="auto"/>
      </w:divBdr>
      <w:divsChild>
        <w:div w:id="601492812">
          <w:marLeft w:val="0"/>
          <w:marRight w:val="0"/>
          <w:marTop w:val="0"/>
          <w:marBottom w:val="0"/>
          <w:divBdr>
            <w:top w:val="none" w:sz="0" w:space="0" w:color="auto"/>
            <w:left w:val="none" w:sz="0" w:space="0" w:color="auto"/>
            <w:bottom w:val="none" w:sz="0" w:space="0" w:color="auto"/>
            <w:right w:val="none" w:sz="0" w:space="0" w:color="auto"/>
          </w:divBdr>
        </w:div>
        <w:div w:id="601492821">
          <w:marLeft w:val="0"/>
          <w:marRight w:val="0"/>
          <w:marTop w:val="0"/>
          <w:marBottom w:val="0"/>
          <w:divBdr>
            <w:top w:val="none" w:sz="0" w:space="0" w:color="auto"/>
            <w:left w:val="none" w:sz="0" w:space="0" w:color="auto"/>
            <w:bottom w:val="none" w:sz="0" w:space="0" w:color="auto"/>
            <w:right w:val="none" w:sz="0" w:space="0" w:color="auto"/>
          </w:divBdr>
        </w:div>
        <w:div w:id="601492832">
          <w:marLeft w:val="0"/>
          <w:marRight w:val="0"/>
          <w:marTop w:val="0"/>
          <w:marBottom w:val="0"/>
          <w:divBdr>
            <w:top w:val="none" w:sz="0" w:space="0" w:color="auto"/>
            <w:left w:val="none" w:sz="0" w:space="0" w:color="auto"/>
            <w:bottom w:val="none" w:sz="0" w:space="0" w:color="auto"/>
            <w:right w:val="none" w:sz="0" w:space="0" w:color="auto"/>
          </w:divBdr>
        </w:div>
        <w:div w:id="601492840">
          <w:marLeft w:val="0"/>
          <w:marRight w:val="0"/>
          <w:marTop w:val="0"/>
          <w:marBottom w:val="0"/>
          <w:divBdr>
            <w:top w:val="none" w:sz="0" w:space="0" w:color="auto"/>
            <w:left w:val="none" w:sz="0" w:space="0" w:color="auto"/>
            <w:bottom w:val="none" w:sz="0" w:space="0" w:color="auto"/>
            <w:right w:val="none" w:sz="0" w:space="0" w:color="auto"/>
          </w:divBdr>
        </w:div>
        <w:div w:id="601492842">
          <w:marLeft w:val="0"/>
          <w:marRight w:val="0"/>
          <w:marTop w:val="0"/>
          <w:marBottom w:val="0"/>
          <w:divBdr>
            <w:top w:val="none" w:sz="0" w:space="0" w:color="auto"/>
            <w:left w:val="none" w:sz="0" w:space="0" w:color="auto"/>
            <w:bottom w:val="none" w:sz="0" w:space="0" w:color="auto"/>
            <w:right w:val="none" w:sz="0" w:space="0" w:color="auto"/>
          </w:divBdr>
        </w:div>
        <w:div w:id="601492843">
          <w:marLeft w:val="0"/>
          <w:marRight w:val="0"/>
          <w:marTop w:val="0"/>
          <w:marBottom w:val="0"/>
          <w:divBdr>
            <w:top w:val="none" w:sz="0" w:space="0" w:color="auto"/>
            <w:left w:val="none" w:sz="0" w:space="0" w:color="auto"/>
            <w:bottom w:val="none" w:sz="0" w:space="0" w:color="auto"/>
            <w:right w:val="none" w:sz="0" w:space="0" w:color="auto"/>
          </w:divBdr>
        </w:div>
      </w:divsChild>
    </w:div>
    <w:div w:id="601492839">
      <w:marLeft w:val="0"/>
      <w:marRight w:val="0"/>
      <w:marTop w:val="0"/>
      <w:marBottom w:val="0"/>
      <w:divBdr>
        <w:top w:val="none" w:sz="0" w:space="0" w:color="auto"/>
        <w:left w:val="none" w:sz="0" w:space="0" w:color="auto"/>
        <w:bottom w:val="none" w:sz="0" w:space="0" w:color="auto"/>
        <w:right w:val="none" w:sz="0" w:space="0" w:color="auto"/>
      </w:divBdr>
      <w:divsChild>
        <w:div w:id="601492796">
          <w:marLeft w:val="0"/>
          <w:marRight w:val="0"/>
          <w:marTop w:val="0"/>
          <w:marBottom w:val="0"/>
          <w:divBdr>
            <w:top w:val="none" w:sz="0" w:space="0" w:color="auto"/>
            <w:left w:val="none" w:sz="0" w:space="0" w:color="auto"/>
            <w:bottom w:val="none" w:sz="0" w:space="0" w:color="auto"/>
            <w:right w:val="none" w:sz="0" w:space="0" w:color="auto"/>
          </w:divBdr>
        </w:div>
        <w:div w:id="601492797">
          <w:marLeft w:val="0"/>
          <w:marRight w:val="0"/>
          <w:marTop w:val="0"/>
          <w:marBottom w:val="0"/>
          <w:divBdr>
            <w:top w:val="none" w:sz="0" w:space="0" w:color="auto"/>
            <w:left w:val="none" w:sz="0" w:space="0" w:color="auto"/>
            <w:bottom w:val="none" w:sz="0" w:space="0" w:color="auto"/>
            <w:right w:val="none" w:sz="0" w:space="0" w:color="auto"/>
          </w:divBdr>
        </w:div>
        <w:div w:id="601492804">
          <w:marLeft w:val="0"/>
          <w:marRight w:val="0"/>
          <w:marTop w:val="0"/>
          <w:marBottom w:val="0"/>
          <w:divBdr>
            <w:top w:val="none" w:sz="0" w:space="0" w:color="auto"/>
            <w:left w:val="none" w:sz="0" w:space="0" w:color="auto"/>
            <w:bottom w:val="none" w:sz="0" w:space="0" w:color="auto"/>
            <w:right w:val="none" w:sz="0" w:space="0" w:color="auto"/>
          </w:divBdr>
        </w:div>
        <w:div w:id="601492805">
          <w:marLeft w:val="0"/>
          <w:marRight w:val="0"/>
          <w:marTop w:val="0"/>
          <w:marBottom w:val="0"/>
          <w:divBdr>
            <w:top w:val="none" w:sz="0" w:space="0" w:color="auto"/>
            <w:left w:val="none" w:sz="0" w:space="0" w:color="auto"/>
            <w:bottom w:val="none" w:sz="0" w:space="0" w:color="auto"/>
            <w:right w:val="none" w:sz="0" w:space="0" w:color="auto"/>
          </w:divBdr>
        </w:div>
      </w:divsChild>
    </w:div>
    <w:div w:id="6014928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30</Pages>
  <Words>10821</Words>
  <Characters>56513</Characters>
  <Application>Microsoft Macintosh Word</Application>
  <DocSecurity>0</DocSecurity>
  <Lines>867</Lines>
  <Paragraphs>81</Paragraphs>
  <ScaleCrop>false</ScaleCrop>
  <Company>Middlesex University</Company>
  <LinksUpToDate>false</LinksUpToDate>
  <CharactersWithSpaces>67272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William Schabas</dc:creator>
  <cp:keywords/>
  <dc:description/>
  <cp:lastModifiedBy>William Schabas</cp:lastModifiedBy>
  <cp:revision>26</cp:revision>
  <cp:lastPrinted>2013-12-18T06:09:00Z</cp:lastPrinted>
  <dcterms:created xsi:type="dcterms:W3CDTF">2015-09-29T14:37:00Z</dcterms:created>
  <dcterms:modified xsi:type="dcterms:W3CDTF">2015-12-09T09:00:00Z</dcterms:modified>
</cp:coreProperties>
</file>